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B879" w14:textId="3A63DDB9" w:rsidR="009074E6" w:rsidRDefault="009074E6" w:rsidP="009074E6">
      <w:pPr>
        <w:pStyle w:val="MP-Author"/>
        <w:rPr>
          <w:rFonts w:eastAsiaTheme="majorEastAsia" w:cstheme="majorBidi"/>
          <w:b/>
          <w:color w:val="00645B"/>
          <w:sz w:val="28"/>
          <w:szCs w:val="32"/>
        </w:rPr>
      </w:pPr>
      <w:r w:rsidRPr="009074E6">
        <w:rPr>
          <w:rFonts w:eastAsiaTheme="majorEastAsia" w:cstheme="majorBidi"/>
          <w:b/>
          <w:color w:val="00645B"/>
          <w:sz w:val="28"/>
          <w:szCs w:val="32"/>
        </w:rPr>
        <w:t xml:space="preserve">SEBI </w:t>
      </w:r>
      <w:r w:rsidR="001B2E83">
        <w:rPr>
          <w:rFonts w:eastAsiaTheme="majorEastAsia" w:cstheme="majorBidi"/>
          <w:b/>
          <w:color w:val="00645B"/>
          <w:sz w:val="28"/>
          <w:szCs w:val="32"/>
        </w:rPr>
        <w:t xml:space="preserve">allows LPs to choose the </w:t>
      </w:r>
      <w:r w:rsidRPr="009074E6">
        <w:rPr>
          <w:rFonts w:eastAsiaTheme="majorEastAsia" w:cstheme="majorBidi"/>
          <w:b/>
          <w:color w:val="00645B"/>
          <w:sz w:val="28"/>
          <w:szCs w:val="32"/>
        </w:rPr>
        <w:t>A</w:t>
      </w:r>
      <w:r w:rsidR="001B2E83">
        <w:rPr>
          <w:rFonts w:eastAsiaTheme="majorEastAsia" w:cstheme="majorBidi"/>
          <w:b/>
          <w:color w:val="00645B"/>
          <w:sz w:val="28"/>
          <w:szCs w:val="32"/>
        </w:rPr>
        <w:t xml:space="preserve">IF investments they want to participate in </w:t>
      </w:r>
    </w:p>
    <w:p w14:paraId="1C30D8DB" w14:textId="77777777" w:rsidR="001B2E83" w:rsidRDefault="001B2E83" w:rsidP="009074E6">
      <w:pPr>
        <w:pStyle w:val="MP-Para"/>
      </w:pPr>
      <w:r>
        <w:t>By: Majmudar &amp; Partners, International Lawyers, India</w:t>
      </w:r>
    </w:p>
    <w:p w14:paraId="18717990" w14:textId="77777777" w:rsidR="001B2E83" w:rsidRDefault="001B2E83" w:rsidP="009074E6">
      <w:pPr>
        <w:pStyle w:val="MP-Para"/>
      </w:pPr>
    </w:p>
    <w:p w14:paraId="2E674310" w14:textId="1CC095B1" w:rsidR="00EB60A1" w:rsidRPr="00EB60A1" w:rsidRDefault="00EB60A1" w:rsidP="009074E6">
      <w:pPr>
        <w:pStyle w:val="MP-Para"/>
        <w:rPr>
          <w:b/>
          <w:bCs/>
        </w:rPr>
      </w:pPr>
      <w:r w:rsidRPr="00EB60A1">
        <w:rPr>
          <w:b/>
          <w:bCs/>
        </w:rPr>
        <w:t>Introduction</w:t>
      </w:r>
    </w:p>
    <w:p w14:paraId="381BEA32" w14:textId="77777777" w:rsidR="00EB60A1" w:rsidRDefault="00EB60A1" w:rsidP="009074E6">
      <w:pPr>
        <w:pStyle w:val="MP-Para"/>
      </w:pPr>
    </w:p>
    <w:p w14:paraId="20A7762D" w14:textId="48419668" w:rsidR="00A67C27" w:rsidRDefault="00C06828" w:rsidP="009074E6">
      <w:pPr>
        <w:pStyle w:val="MP-Para"/>
      </w:pPr>
      <w:r>
        <w:t xml:space="preserve">In a circular issued </w:t>
      </w:r>
      <w:r w:rsidR="00AA3676">
        <w:t>last month</w:t>
      </w:r>
      <w:r>
        <w:t xml:space="preserve"> </w:t>
      </w:r>
      <w:r>
        <w:t>(the “</w:t>
      </w:r>
      <w:r w:rsidRPr="009F3B63">
        <w:rPr>
          <w:b/>
          <w:bCs/>
        </w:rPr>
        <w:t>Circular</w:t>
      </w:r>
      <w:r>
        <w:t>”)</w:t>
      </w:r>
      <w:r>
        <w:t>, t</w:t>
      </w:r>
      <w:r w:rsidR="009074E6">
        <w:t>he Securities and Exchange Board of India (</w:t>
      </w:r>
      <w:r w:rsidR="001B2E83">
        <w:t xml:space="preserve">the </w:t>
      </w:r>
      <w:r w:rsidR="009074E6">
        <w:t>“</w:t>
      </w:r>
      <w:r w:rsidR="009074E6" w:rsidRPr="009074E6">
        <w:rPr>
          <w:b/>
          <w:bCs/>
        </w:rPr>
        <w:t>SEBI</w:t>
      </w:r>
      <w:r w:rsidR="009074E6">
        <w:t xml:space="preserve">”) </w:t>
      </w:r>
      <w:r w:rsidR="007154FE">
        <w:t>has allowed</w:t>
      </w:r>
      <w:r w:rsidR="001B2E83">
        <w:t xml:space="preserve"> </w:t>
      </w:r>
      <w:r w:rsidR="00F16FCE">
        <w:t xml:space="preserve">specific </w:t>
      </w:r>
      <w:r w:rsidR="00472B0A">
        <w:t xml:space="preserve">investors </w:t>
      </w:r>
      <w:r w:rsidR="001B2E83">
        <w:t xml:space="preserve">to excuse or exclude themselves </w:t>
      </w:r>
      <w:r w:rsidR="00472B0A">
        <w:t xml:space="preserve">from </w:t>
      </w:r>
      <w:r w:rsidR="001B2E83">
        <w:t xml:space="preserve">any particular investment being made by an </w:t>
      </w:r>
      <w:r w:rsidR="00EB5F7F">
        <w:t>alternative investment funds (“</w:t>
      </w:r>
      <w:r w:rsidR="00EB5F7F" w:rsidRPr="002609DD">
        <w:rPr>
          <w:b/>
          <w:bCs/>
        </w:rPr>
        <w:t>AIF</w:t>
      </w:r>
      <w:r w:rsidR="00EB5F7F">
        <w:t xml:space="preserve">”) </w:t>
      </w:r>
      <w:r w:rsidR="007154FE">
        <w:t>in which they have invested</w:t>
      </w:r>
      <w:r w:rsidR="00BB57B5">
        <w:t>.</w:t>
      </w:r>
      <w:r w:rsidR="001B2E83">
        <w:t xml:space="preserve">  T</w:t>
      </w:r>
      <w:r w:rsidR="002E285A">
        <w:t>hrough th</w:t>
      </w:r>
      <w:r w:rsidR="001B2E83">
        <w:t>e</w:t>
      </w:r>
      <w:r w:rsidR="002E285A">
        <w:t xml:space="preserve"> </w:t>
      </w:r>
      <w:r w:rsidR="00B87F4C">
        <w:t>C</w:t>
      </w:r>
      <w:r w:rsidR="002E285A">
        <w:t>ircular,</w:t>
      </w:r>
      <w:r w:rsidR="00360C71">
        <w:t xml:space="preserve"> </w:t>
      </w:r>
      <w:r w:rsidR="001B2E83">
        <w:t xml:space="preserve">the SEBI </w:t>
      </w:r>
      <w:r w:rsidR="00360C71">
        <w:t xml:space="preserve">has </w:t>
      </w:r>
      <w:r w:rsidR="002609DD">
        <w:t xml:space="preserve">codified “excuse-exclude” norms </w:t>
      </w:r>
      <w:r w:rsidR="001B2E83">
        <w:t>often</w:t>
      </w:r>
      <w:r w:rsidR="002609DD">
        <w:t xml:space="preserve"> used by </w:t>
      </w:r>
      <w:r w:rsidR="008A1C25">
        <w:t xml:space="preserve">such </w:t>
      </w:r>
      <w:r w:rsidR="00EB5F7F">
        <w:t>AIF</w:t>
      </w:r>
      <w:r w:rsidR="00EB5F7F">
        <w:t>s</w:t>
      </w:r>
      <w:r w:rsidR="00EB5F7F">
        <w:t xml:space="preserve"> </w:t>
      </w:r>
      <w:r w:rsidR="00EB5F7F">
        <w:t xml:space="preserve">such </w:t>
      </w:r>
      <w:r w:rsidR="008A1C25">
        <w:t>as private equity</w:t>
      </w:r>
      <w:r w:rsidR="00BB3A6C">
        <w:t xml:space="preserve"> funds</w:t>
      </w:r>
      <w:r w:rsidR="008A1C25">
        <w:t xml:space="preserve"> (“</w:t>
      </w:r>
      <w:r w:rsidR="008A1C25" w:rsidRPr="008A1C25">
        <w:rPr>
          <w:b/>
          <w:bCs/>
        </w:rPr>
        <w:t>PE</w:t>
      </w:r>
      <w:r w:rsidR="00BB3A6C">
        <w:rPr>
          <w:b/>
          <w:bCs/>
        </w:rPr>
        <w:t xml:space="preserve"> Funds</w:t>
      </w:r>
      <w:r w:rsidR="008A1C25">
        <w:t xml:space="preserve">”) or venture capital </w:t>
      </w:r>
      <w:r w:rsidR="00BB3A6C">
        <w:t xml:space="preserve">funds </w:t>
      </w:r>
      <w:r w:rsidR="008A1C25">
        <w:t>(“</w:t>
      </w:r>
      <w:r w:rsidR="008A1C25" w:rsidRPr="008A1C25">
        <w:rPr>
          <w:b/>
          <w:bCs/>
        </w:rPr>
        <w:t>VC</w:t>
      </w:r>
      <w:r w:rsidR="00BB3A6C">
        <w:rPr>
          <w:b/>
          <w:bCs/>
        </w:rPr>
        <w:t xml:space="preserve"> Funds</w:t>
      </w:r>
      <w:r w:rsidR="008A1C25">
        <w:t>”)</w:t>
      </w:r>
      <w:r w:rsidR="00BB3A6C">
        <w:t xml:space="preserve">. </w:t>
      </w:r>
      <w:r w:rsidR="001B2E83">
        <w:t xml:space="preserve"> </w:t>
      </w:r>
      <w:r w:rsidR="00BB3A6C">
        <w:t xml:space="preserve"> </w:t>
      </w:r>
    </w:p>
    <w:p w14:paraId="43653BE7" w14:textId="77777777" w:rsidR="00BD4F48" w:rsidRDefault="00BD4F48" w:rsidP="009074E6">
      <w:pPr>
        <w:pStyle w:val="MP-Para"/>
      </w:pPr>
    </w:p>
    <w:p w14:paraId="301FD48D" w14:textId="0CDED8DD" w:rsidR="00BD4F48" w:rsidRDefault="00BD4F48" w:rsidP="009074E6">
      <w:pPr>
        <w:pStyle w:val="MP-Para"/>
      </w:pPr>
      <w:r>
        <w:t xml:space="preserve">As per the </w:t>
      </w:r>
      <w:r w:rsidR="001B2E83">
        <w:t>C</w:t>
      </w:r>
      <w:r>
        <w:t>ircular:</w:t>
      </w:r>
    </w:p>
    <w:p w14:paraId="381388F4" w14:textId="77777777" w:rsidR="00BD4F48" w:rsidRDefault="00BD4F48" w:rsidP="009074E6">
      <w:pPr>
        <w:pStyle w:val="MP-Para"/>
      </w:pPr>
    </w:p>
    <w:p w14:paraId="7A8E252B" w14:textId="37E8B0BD" w:rsidR="00DE3B1D" w:rsidRDefault="00BD4F48" w:rsidP="001B2E83">
      <w:pPr>
        <w:pStyle w:val="ListParagraph"/>
        <w:numPr>
          <w:ilvl w:val="0"/>
          <w:numId w:val="7"/>
        </w:numPr>
        <w:ind w:left="0" w:firstLine="0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 xml:space="preserve">An AIF may </w:t>
      </w:r>
      <w:r w:rsidRPr="00BD4F48">
        <w:rPr>
          <w:rFonts w:cs="Poppins"/>
          <w:b/>
          <w:bCs/>
          <w:color w:val="000000" w:themeColor="text1"/>
          <w:sz w:val="24"/>
          <w:szCs w:val="24"/>
          <w:u w:val="single"/>
          <w:lang w:val="en-US"/>
        </w:rPr>
        <w:t>excuse</w:t>
      </w:r>
      <w:r w:rsidRPr="00830465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Poppins"/>
          <w:color w:val="000000" w:themeColor="text1"/>
          <w:sz w:val="24"/>
          <w:szCs w:val="24"/>
          <w:lang w:val="en-US"/>
        </w:rPr>
        <w:t>its investors from participating in an investment opportunity, if:</w:t>
      </w:r>
    </w:p>
    <w:p w14:paraId="3EC54717" w14:textId="77777777" w:rsidR="002D7C65" w:rsidRDefault="002D7C65" w:rsidP="002D7C65">
      <w:pPr>
        <w:pStyle w:val="ListParagraph"/>
        <w:ind w:left="0"/>
        <w:rPr>
          <w:rFonts w:cs="Poppins"/>
          <w:color w:val="000000" w:themeColor="text1"/>
          <w:sz w:val="24"/>
          <w:szCs w:val="24"/>
          <w:lang w:val="en-US"/>
        </w:rPr>
      </w:pPr>
    </w:p>
    <w:p w14:paraId="5D16C963" w14:textId="798FDEC7" w:rsidR="002D7C65" w:rsidRPr="002D7C65" w:rsidRDefault="00BD4F48" w:rsidP="001B2E83">
      <w:pPr>
        <w:pStyle w:val="ListParagraph"/>
        <w:numPr>
          <w:ilvl w:val="0"/>
          <w:numId w:val="8"/>
        </w:numPr>
        <w:ind w:left="1134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>the investor</w:t>
      </w:r>
      <w:r w:rsidR="00193072">
        <w:rPr>
          <w:rFonts w:cs="Poppins"/>
          <w:color w:val="000000" w:themeColor="text1"/>
          <w:sz w:val="24"/>
          <w:szCs w:val="24"/>
          <w:lang w:val="en-US"/>
        </w:rPr>
        <w:t xml:space="preserve"> confirms that its participation in the investment opportunity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will</w:t>
      </w:r>
      <w:r w:rsidR="00193072">
        <w:rPr>
          <w:rFonts w:cs="Poppins"/>
          <w:color w:val="000000" w:themeColor="text1"/>
          <w:sz w:val="24"/>
          <w:szCs w:val="24"/>
          <w:lang w:val="en-US"/>
        </w:rPr>
        <w:t xml:space="preserve"> violat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e</w:t>
      </w:r>
      <w:r w:rsidR="00193072">
        <w:rPr>
          <w:rFonts w:cs="Poppins"/>
          <w:color w:val="000000" w:themeColor="text1"/>
          <w:sz w:val="24"/>
          <w:szCs w:val="24"/>
          <w:lang w:val="en-US"/>
        </w:rPr>
        <w:t xml:space="preserve"> any applicable law or regulation on the basis of </w:t>
      </w:r>
      <w:r w:rsidR="000B55F9">
        <w:rPr>
          <w:rFonts w:cs="Poppins"/>
          <w:color w:val="000000" w:themeColor="text1"/>
          <w:sz w:val="24"/>
          <w:szCs w:val="24"/>
          <w:lang w:val="en-US"/>
        </w:rPr>
        <w:t>advi</w:t>
      </w:r>
      <w:r w:rsidR="003A66B4">
        <w:rPr>
          <w:rFonts w:cs="Poppins"/>
          <w:color w:val="000000" w:themeColor="text1"/>
          <w:sz w:val="24"/>
          <w:szCs w:val="24"/>
          <w:lang w:val="en-US"/>
        </w:rPr>
        <w:t>c</w:t>
      </w:r>
      <w:r w:rsidR="000B55F9">
        <w:rPr>
          <w:rFonts w:cs="Poppins"/>
          <w:color w:val="000000" w:themeColor="text1"/>
          <w:sz w:val="24"/>
          <w:szCs w:val="24"/>
          <w:lang w:val="en-US"/>
        </w:rPr>
        <w:t>e received from a legal professional/</w:t>
      </w:r>
      <w:r w:rsidR="009B7CD0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0B55F9">
        <w:rPr>
          <w:rFonts w:cs="Poppins"/>
          <w:color w:val="000000" w:themeColor="text1"/>
          <w:sz w:val="24"/>
          <w:szCs w:val="24"/>
          <w:lang w:val="en-US"/>
        </w:rPr>
        <w:t>advisor; or</w:t>
      </w:r>
      <w:r w:rsidR="002D7C65" w:rsidRPr="002D7C65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</w:p>
    <w:p w14:paraId="4E38D240" w14:textId="77777777" w:rsidR="002D7C65" w:rsidRPr="002D7C65" w:rsidRDefault="002D7C65" w:rsidP="001B2E83">
      <w:pPr>
        <w:pStyle w:val="ListParagraph"/>
        <w:ind w:left="1134" w:hanging="567"/>
        <w:rPr>
          <w:rFonts w:cs="Poppins"/>
          <w:color w:val="000000" w:themeColor="text1"/>
          <w:sz w:val="24"/>
          <w:szCs w:val="24"/>
          <w:lang w:val="en-US"/>
        </w:rPr>
      </w:pPr>
    </w:p>
    <w:p w14:paraId="542CC436" w14:textId="1E6729F6" w:rsidR="00530531" w:rsidRDefault="000B55F9" w:rsidP="001B2E83">
      <w:pPr>
        <w:pStyle w:val="ListParagraph"/>
        <w:numPr>
          <w:ilvl w:val="0"/>
          <w:numId w:val="8"/>
        </w:numPr>
        <w:ind w:left="1134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 xml:space="preserve">the </w:t>
      </w:r>
      <w:r w:rsidR="00AD2BEB">
        <w:rPr>
          <w:rFonts w:cs="Poppins"/>
          <w:color w:val="000000" w:themeColor="text1"/>
          <w:sz w:val="24"/>
          <w:szCs w:val="24"/>
          <w:lang w:val="en-US"/>
        </w:rPr>
        <w:t xml:space="preserve">participation of the investor in such investment opportunity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will</w:t>
      </w:r>
      <w:r w:rsidR="00AD2BEB">
        <w:rPr>
          <w:rFonts w:cs="Poppins"/>
          <w:color w:val="000000" w:themeColor="text1"/>
          <w:sz w:val="24"/>
          <w:szCs w:val="24"/>
          <w:lang w:val="en-US"/>
        </w:rPr>
        <w:t xml:space="preserve"> be in contravention of the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 xml:space="preserve">investor’s </w:t>
      </w:r>
      <w:r w:rsidR="00AD2BEB">
        <w:rPr>
          <w:rFonts w:cs="Poppins"/>
          <w:color w:val="000000" w:themeColor="text1"/>
          <w:sz w:val="24"/>
          <w:szCs w:val="24"/>
          <w:lang w:val="en-US"/>
        </w:rPr>
        <w:t>internal policy</w:t>
      </w:r>
      <w:r w:rsidR="00871909">
        <w:rPr>
          <w:rFonts w:cs="Poppins"/>
          <w:color w:val="000000" w:themeColor="text1"/>
          <w:sz w:val="24"/>
          <w:szCs w:val="24"/>
          <w:lang w:val="en-US"/>
        </w:rPr>
        <w:t xml:space="preserve">, which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should have been</w:t>
      </w:r>
      <w:r w:rsidR="00871909">
        <w:rPr>
          <w:rFonts w:cs="Poppins"/>
          <w:color w:val="000000" w:themeColor="text1"/>
          <w:sz w:val="24"/>
          <w:szCs w:val="24"/>
          <w:lang w:val="en-US"/>
        </w:rPr>
        <w:t xml:space="preserve"> duly disclosed to the AIF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 xml:space="preserve">and should be a </w:t>
      </w:r>
      <w:r w:rsidR="00871909">
        <w:rPr>
          <w:rFonts w:cs="Poppins"/>
          <w:color w:val="000000" w:themeColor="text1"/>
          <w:sz w:val="24"/>
          <w:szCs w:val="24"/>
          <w:lang w:val="en-US"/>
        </w:rPr>
        <w:t xml:space="preserve">part of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the</w:t>
      </w:r>
      <w:r w:rsidR="00871909">
        <w:rPr>
          <w:rFonts w:cs="Poppins"/>
          <w:color w:val="000000" w:themeColor="text1"/>
          <w:sz w:val="24"/>
          <w:szCs w:val="24"/>
          <w:lang w:val="en-US"/>
        </w:rPr>
        <w:t xml:space="preserve"> contribution agreement or any other agreement signed with the AIF</w:t>
      </w:r>
      <w:r w:rsidR="002D7C65" w:rsidRPr="002D7C65">
        <w:rPr>
          <w:rFonts w:cs="Poppins"/>
          <w:color w:val="000000" w:themeColor="text1"/>
          <w:sz w:val="24"/>
          <w:szCs w:val="24"/>
          <w:lang w:val="en-US"/>
        </w:rPr>
        <w:t>.</w:t>
      </w:r>
      <w:r w:rsidR="005D533F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9B7CD0">
        <w:rPr>
          <w:rFonts w:cs="Poppins"/>
          <w:color w:val="000000" w:themeColor="text1"/>
          <w:sz w:val="24"/>
          <w:szCs w:val="24"/>
          <w:lang w:val="en-US"/>
        </w:rPr>
        <w:t>(</w:t>
      </w:r>
      <w:r w:rsidR="00E03BC1">
        <w:rPr>
          <w:rFonts w:cs="Poppins"/>
          <w:color w:val="000000" w:themeColor="text1"/>
          <w:sz w:val="24"/>
          <w:szCs w:val="24"/>
          <w:lang w:val="en-US"/>
        </w:rPr>
        <w:t>A</w:t>
      </w:r>
      <w:r w:rsidR="005D533F" w:rsidRPr="005D533F">
        <w:rPr>
          <w:rFonts w:cs="Poppins"/>
          <w:color w:val="000000" w:themeColor="text1"/>
          <w:sz w:val="24"/>
          <w:szCs w:val="24"/>
          <w:lang w:val="en-US"/>
        </w:rPr>
        <w:t xml:space="preserve">ny change to the terms of </w:t>
      </w:r>
      <w:r w:rsidR="005D533F">
        <w:rPr>
          <w:rFonts w:cs="Poppins"/>
          <w:color w:val="000000" w:themeColor="text1"/>
          <w:sz w:val="24"/>
          <w:szCs w:val="24"/>
          <w:lang w:val="en-US"/>
        </w:rPr>
        <w:t>such</w:t>
      </w:r>
      <w:r w:rsidR="005D533F" w:rsidRPr="005D533F">
        <w:rPr>
          <w:rFonts w:cs="Poppins"/>
          <w:color w:val="000000" w:themeColor="text1"/>
          <w:sz w:val="24"/>
          <w:szCs w:val="24"/>
          <w:lang w:val="en-US"/>
        </w:rPr>
        <w:t xml:space="preserve"> agreement </w:t>
      </w:r>
      <w:r w:rsidR="00E03BC1">
        <w:rPr>
          <w:rFonts w:cs="Poppins"/>
          <w:color w:val="000000" w:themeColor="text1"/>
          <w:sz w:val="24"/>
          <w:szCs w:val="24"/>
          <w:lang w:val="en-US"/>
        </w:rPr>
        <w:t>must</w:t>
      </w:r>
      <w:r w:rsidR="005D533F" w:rsidRPr="005D533F">
        <w:rPr>
          <w:rFonts w:cs="Poppins"/>
          <w:color w:val="000000" w:themeColor="text1"/>
          <w:sz w:val="24"/>
          <w:szCs w:val="24"/>
          <w:lang w:val="en-US"/>
        </w:rPr>
        <w:t xml:space="preserve"> be</w:t>
      </w:r>
      <w:r w:rsidR="00E03BC1">
        <w:rPr>
          <w:rFonts w:cs="Poppins"/>
          <w:color w:val="000000" w:themeColor="text1"/>
          <w:sz w:val="24"/>
          <w:szCs w:val="24"/>
          <w:lang w:val="en-US"/>
        </w:rPr>
        <w:t xml:space="preserve"> intimated</w:t>
      </w:r>
      <w:r w:rsidR="005D533F" w:rsidRPr="005D533F">
        <w:rPr>
          <w:rFonts w:cs="Poppins"/>
          <w:color w:val="000000" w:themeColor="text1"/>
          <w:sz w:val="24"/>
          <w:szCs w:val="24"/>
          <w:lang w:val="en-US"/>
        </w:rPr>
        <w:t xml:space="preserve"> to the AIF manager within 15 days.</w:t>
      </w:r>
      <w:r w:rsidR="0042599E">
        <w:rPr>
          <w:rFonts w:cs="Poppins"/>
          <w:color w:val="000000" w:themeColor="text1"/>
          <w:sz w:val="24"/>
          <w:szCs w:val="24"/>
          <w:lang w:val="en-US"/>
        </w:rPr>
        <w:t>)</w:t>
      </w:r>
    </w:p>
    <w:p w14:paraId="2D888C7E" w14:textId="77777777" w:rsidR="00830465" w:rsidRPr="00830465" w:rsidRDefault="00830465" w:rsidP="00830465">
      <w:pPr>
        <w:pStyle w:val="ListParagraph"/>
        <w:rPr>
          <w:rFonts w:cs="Poppins"/>
          <w:color w:val="000000" w:themeColor="text1"/>
          <w:sz w:val="24"/>
          <w:szCs w:val="24"/>
          <w:lang w:val="en-US"/>
        </w:rPr>
      </w:pPr>
    </w:p>
    <w:p w14:paraId="5A87F9D7" w14:textId="1163CC4A" w:rsidR="00830465" w:rsidRDefault="00830465" w:rsidP="001B2E83">
      <w:pPr>
        <w:pStyle w:val="ListParagraph"/>
        <w:numPr>
          <w:ilvl w:val="0"/>
          <w:numId w:val="7"/>
        </w:numPr>
        <w:ind w:left="567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 xml:space="preserve">An AIF may </w:t>
      </w:r>
      <w:r w:rsidRPr="00830465">
        <w:rPr>
          <w:rFonts w:cs="Poppins"/>
          <w:b/>
          <w:bCs/>
          <w:color w:val="000000" w:themeColor="text1"/>
          <w:sz w:val="24"/>
          <w:szCs w:val="24"/>
          <w:u w:val="single"/>
          <w:lang w:val="en-US"/>
        </w:rPr>
        <w:t>exclude</w:t>
      </w:r>
      <w:r w:rsidRPr="00830465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>
        <w:rPr>
          <w:rFonts w:cs="Poppins"/>
          <w:color w:val="000000" w:themeColor="text1"/>
          <w:sz w:val="24"/>
          <w:szCs w:val="24"/>
          <w:lang w:val="en-US"/>
        </w:rPr>
        <w:t>its investors from participating in an investment opportunity, if</w:t>
      </w:r>
      <w:r w:rsidR="009C2CEB">
        <w:rPr>
          <w:rFonts w:cs="Poppins"/>
          <w:color w:val="000000" w:themeColor="text1"/>
          <w:sz w:val="24"/>
          <w:szCs w:val="24"/>
          <w:lang w:val="en-US"/>
        </w:rPr>
        <w:t xml:space="preserve"> the AIF manager is satisfied that the participation of any particular investor in the investment opportunity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shall</w:t>
      </w:r>
      <w:r w:rsidR="009C2CEB">
        <w:rPr>
          <w:rFonts w:cs="Poppins"/>
          <w:color w:val="000000" w:themeColor="text1"/>
          <w:sz w:val="24"/>
          <w:szCs w:val="24"/>
          <w:lang w:val="en-US"/>
        </w:rPr>
        <w:t xml:space="preserve"> result in</w:t>
      </w:r>
      <w:r w:rsidR="00C56304">
        <w:rPr>
          <w:rFonts w:cs="Poppins"/>
          <w:color w:val="000000" w:themeColor="text1"/>
          <w:sz w:val="24"/>
          <w:szCs w:val="24"/>
          <w:lang w:val="en-US"/>
        </w:rPr>
        <w:t>:</w:t>
      </w:r>
    </w:p>
    <w:p w14:paraId="75B0845D" w14:textId="77777777" w:rsidR="00C56304" w:rsidRDefault="00C56304" w:rsidP="00C56304">
      <w:pPr>
        <w:pStyle w:val="ListParagraph"/>
        <w:ind w:left="567"/>
        <w:rPr>
          <w:rFonts w:cs="Poppins"/>
          <w:color w:val="000000" w:themeColor="text1"/>
          <w:sz w:val="24"/>
          <w:szCs w:val="24"/>
          <w:lang w:val="en-US"/>
        </w:rPr>
      </w:pPr>
    </w:p>
    <w:p w14:paraId="1C903CAA" w14:textId="537C3574" w:rsidR="00C56304" w:rsidRDefault="00C56304" w:rsidP="001B2E83">
      <w:pPr>
        <w:pStyle w:val="ListParagraph"/>
        <w:numPr>
          <w:ilvl w:val="0"/>
          <w:numId w:val="8"/>
        </w:numPr>
        <w:ind w:left="1134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 xml:space="preserve">the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 xml:space="preserve">AIF </w:t>
      </w:r>
      <w:r>
        <w:rPr>
          <w:rFonts w:cs="Poppins"/>
          <w:color w:val="000000" w:themeColor="text1"/>
          <w:sz w:val="24"/>
          <w:szCs w:val="24"/>
          <w:lang w:val="en-US"/>
        </w:rPr>
        <w:t>scheme violating any applicable law or regulation; or</w:t>
      </w:r>
    </w:p>
    <w:p w14:paraId="31214829" w14:textId="77777777" w:rsidR="000D76E3" w:rsidRDefault="000D76E3" w:rsidP="001B2E83">
      <w:pPr>
        <w:pStyle w:val="ListParagraph"/>
        <w:ind w:left="1134"/>
        <w:rPr>
          <w:rFonts w:cs="Poppins"/>
          <w:color w:val="000000" w:themeColor="text1"/>
          <w:sz w:val="24"/>
          <w:szCs w:val="24"/>
          <w:lang w:val="en-US"/>
        </w:rPr>
      </w:pPr>
    </w:p>
    <w:p w14:paraId="3E475508" w14:textId="602D80FC" w:rsidR="00C56304" w:rsidRDefault="009C2CEB" w:rsidP="001B2E83">
      <w:pPr>
        <w:pStyle w:val="ListParagraph"/>
        <w:numPr>
          <w:ilvl w:val="0"/>
          <w:numId w:val="8"/>
        </w:numPr>
        <w:spacing w:after="0"/>
        <w:ind w:left="1134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>any material adverse effect on the scheme of the AIF.</w:t>
      </w:r>
      <w:r w:rsidR="00CE41D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 xml:space="preserve"> In this regard, </w:t>
      </w:r>
      <w:r w:rsidR="00EB60A1">
        <w:rPr>
          <w:rFonts w:cs="Poppins"/>
          <w:color w:val="000000" w:themeColor="text1"/>
          <w:sz w:val="24"/>
          <w:szCs w:val="24"/>
          <w:lang w:val="en-US"/>
        </w:rPr>
        <w:t xml:space="preserve">AIF </w:t>
      </w:r>
      <w:r w:rsidR="001B2E83">
        <w:rPr>
          <w:rFonts w:cs="Poppins"/>
          <w:color w:val="000000" w:themeColor="text1"/>
          <w:sz w:val="24"/>
          <w:szCs w:val="24"/>
          <w:lang w:val="en-US"/>
        </w:rPr>
        <w:t>m</w:t>
      </w:r>
      <w:r w:rsidR="00CE41D3">
        <w:rPr>
          <w:rFonts w:cs="Poppins"/>
          <w:color w:val="000000" w:themeColor="text1"/>
          <w:sz w:val="24"/>
          <w:szCs w:val="24"/>
          <w:lang w:val="en-US"/>
        </w:rPr>
        <w:t xml:space="preserve">anagers </w:t>
      </w:r>
      <w:r w:rsidR="00EB60A1">
        <w:rPr>
          <w:rFonts w:cs="Poppins"/>
          <w:color w:val="000000" w:themeColor="text1"/>
          <w:sz w:val="24"/>
          <w:szCs w:val="24"/>
          <w:lang w:val="en-US"/>
        </w:rPr>
        <w:t xml:space="preserve">will </w:t>
      </w:r>
      <w:r w:rsidR="00CE41D3">
        <w:rPr>
          <w:rFonts w:cs="Poppins"/>
          <w:color w:val="000000" w:themeColor="text1"/>
          <w:sz w:val="24"/>
          <w:szCs w:val="24"/>
          <w:lang w:val="en-US"/>
        </w:rPr>
        <w:t>have</w:t>
      </w:r>
      <w:r w:rsidR="00CE41D3" w:rsidRPr="00CE41D3">
        <w:rPr>
          <w:rFonts w:cs="Poppins"/>
          <w:color w:val="000000" w:themeColor="text1"/>
          <w:sz w:val="24"/>
          <w:szCs w:val="24"/>
          <w:lang w:val="en-US"/>
        </w:rPr>
        <w:t xml:space="preserve"> to </w:t>
      </w:r>
      <w:bookmarkStart w:id="0" w:name="_Hlk132635717"/>
      <w:r w:rsidR="00CE41D3" w:rsidRPr="00CE41D3">
        <w:rPr>
          <w:rFonts w:cs="Poppins"/>
          <w:color w:val="000000" w:themeColor="text1"/>
          <w:sz w:val="24"/>
          <w:szCs w:val="24"/>
          <w:lang w:val="en-US"/>
        </w:rPr>
        <w:t>record the rationale behind such exclusion</w:t>
      </w:r>
      <w:r w:rsidR="00EB60A1">
        <w:rPr>
          <w:rFonts w:cs="Poppins"/>
          <w:color w:val="000000" w:themeColor="text1"/>
          <w:sz w:val="24"/>
          <w:szCs w:val="24"/>
          <w:lang w:val="en-US"/>
        </w:rPr>
        <w:t xml:space="preserve"> and keep </w:t>
      </w:r>
      <w:r w:rsidR="00313F4D">
        <w:rPr>
          <w:rFonts w:cs="Poppins"/>
          <w:color w:val="000000" w:themeColor="text1"/>
          <w:sz w:val="24"/>
          <w:szCs w:val="24"/>
          <w:lang w:val="en-US"/>
        </w:rPr>
        <w:t>o</w:t>
      </w:r>
      <w:r w:rsidR="00EB60A1">
        <w:rPr>
          <w:rFonts w:cs="Poppins"/>
          <w:color w:val="000000" w:themeColor="text1"/>
          <w:sz w:val="24"/>
          <w:szCs w:val="24"/>
          <w:lang w:val="en-US"/>
        </w:rPr>
        <w:t xml:space="preserve">n record </w:t>
      </w:r>
      <w:r w:rsidR="00CE41D3" w:rsidRPr="00CE41D3">
        <w:rPr>
          <w:rFonts w:cs="Poppins"/>
          <w:color w:val="000000" w:themeColor="text1"/>
          <w:sz w:val="24"/>
          <w:szCs w:val="24"/>
          <w:lang w:val="en-US"/>
        </w:rPr>
        <w:t>the documents relied on</w:t>
      </w:r>
      <w:bookmarkEnd w:id="0"/>
      <w:r w:rsidR="00313F4D">
        <w:rPr>
          <w:rFonts w:cs="Poppins"/>
          <w:color w:val="000000" w:themeColor="text1"/>
          <w:sz w:val="24"/>
          <w:szCs w:val="24"/>
          <w:lang w:val="en-US"/>
        </w:rPr>
        <w:t xml:space="preserve"> in arriving at such a conclusion</w:t>
      </w:r>
      <w:r w:rsidR="00CE41D3" w:rsidRPr="00CE41D3">
        <w:rPr>
          <w:rFonts w:cs="Poppins"/>
          <w:color w:val="000000" w:themeColor="text1"/>
          <w:sz w:val="24"/>
          <w:szCs w:val="24"/>
          <w:lang w:val="en-US"/>
        </w:rPr>
        <w:t>.</w:t>
      </w:r>
    </w:p>
    <w:p w14:paraId="58E2763E" w14:textId="77777777" w:rsidR="00EB60A1" w:rsidRPr="00EB60A1" w:rsidRDefault="00EB60A1" w:rsidP="00EB60A1">
      <w:pPr>
        <w:pStyle w:val="ListParagraph"/>
        <w:rPr>
          <w:rFonts w:cs="Poppins"/>
          <w:color w:val="000000" w:themeColor="text1"/>
          <w:sz w:val="24"/>
          <w:szCs w:val="24"/>
          <w:lang w:val="en-US"/>
        </w:rPr>
      </w:pPr>
    </w:p>
    <w:p w14:paraId="60AE5C80" w14:textId="3C7AFB64" w:rsidR="00EB60A1" w:rsidRPr="002D7C65" w:rsidRDefault="00EB60A1" w:rsidP="00EB60A1">
      <w:pPr>
        <w:pStyle w:val="ListParagraph"/>
        <w:numPr>
          <w:ilvl w:val="0"/>
          <w:numId w:val="7"/>
        </w:numPr>
        <w:ind w:left="567" w:hanging="567"/>
        <w:rPr>
          <w:rFonts w:cs="Poppins"/>
          <w:color w:val="000000" w:themeColor="text1"/>
          <w:sz w:val="24"/>
          <w:szCs w:val="24"/>
          <w:lang w:val="en-US"/>
        </w:rPr>
      </w:pPr>
      <w:r>
        <w:rPr>
          <w:rFonts w:cs="Poppins"/>
          <w:color w:val="000000" w:themeColor="text1"/>
          <w:sz w:val="24"/>
          <w:szCs w:val="24"/>
          <w:lang w:val="en-US"/>
        </w:rPr>
        <w:t>The Circular also provides for partial excus</w:t>
      </w:r>
      <w:r w:rsidR="00381810">
        <w:rPr>
          <w:rFonts w:cs="Poppins"/>
          <w:color w:val="000000" w:themeColor="text1"/>
          <w:sz w:val="24"/>
          <w:szCs w:val="24"/>
          <w:lang w:val="en-US"/>
        </w:rPr>
        <w:t>e</w:t>
      </w:r>
      <w:r>
        <w:rPr>
          <w:rFonts w:cs="Poppins"/>
          <w:color w:val="000000" w:themeColor="text1"/>
          <w:sz w:val="24"/>
          <w:szCs w:val="24"/>
          <w:lang w:val="en-US"/>
        </w:rPr>
        <w:t xml:space="preserve"> and exclu</w:t>
      </w:r>
      <w:r w:rsidR="00381810">
        <w:rPr>
          <w:rFonts w:cs="Poppins"/>
          <w:color w:val="000000" w:themeColor="text1"/>
          <w:sz w:val="24"/>
          <w:szCs w:val="24"/>
          <w:lang w:val="en-US"/>
        </w:rPr>
        <w:t>sion</w:t>
      </w:r>
      <w:r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20E45">
        <w:rPr>
          <w:rFonts w:cs="Poppins"/>
          <w:color w:val="000000" w:themeColor="text1"/>
          <w:sz w:val="24"/>
          <w:szCs w:val="24"/>
          <w:lang w:val="en-US"/>
        </w:rPr>
        <w:t>if</w:t>
      </w:r>
      <w:r>
        <w:rPr>
          <w:rFonts w:cs="Poppins"/>
          <w:color w:val="000000" w:themeColor="text1"/>
          <w:sz w:val="24"/>
          <w:szCs w:val="24"/>
          <w:lang w:val="en-US"/>
        </w:rPr>
        <w:t xml:space="preserve"> the investor </w:t>
      </w:r>
      <w:r w:rsidR="00120E45">
        <w:rPr>
          <w:rFonts w:cs="Poppins"/>
          <w:color w:val="000000" w:themeColor="text1"/>
          <w:sz w:val="24"/>
          <w:szCs w:val="24"/>
          <w:lang w:val="en-US"/>
        </w:rPr>
        <w:t>in</w:t>
      </w:r>
      <w:r>
        <w:rPr>
          <w:rFonts w:cs="Poppins"/>
          <w:color w:val="000000" w:themeColor="text1"/>
          <w:sz w:val="24"/>
          <w:szCs w:val="24"/>
          <w:lang w:val="en-US"/>
        </w:rPr>
        <w:t xml:space="preserve"> the AIF is also an AIF.  </w:t>
      </w:r>
      <w:r w:rsidRPr="008773D9">
        <w:rPr>
          <w:rFonts w:cs="Poppins"/>
          <w:color w:val="000000" w:themeColor="text1"/>
          <w:sz w:val="24"/>
          <w:szCs w:val="24"/>
          <w:lang w:val="en-US"/>
        </w:rPr>
        <w:t xml:space="preserve">In such a situation, the investor AIF may be partially excused or excluded to the extent of the contribution </w:t>
      </w:r>
      <w:r w:rsidR="000140DB" w:rsidRPr="008773D9">
        <w:rPr>
          <w:rFonts w:cs="Poppins"/>
          <w:color w:val="000000" w:themeColor="text1"/>
          <w:sz w:val="24"/>
          <w:szCs w:val="24"/>
          <w:lang w:val="en-US"/>
        </w:rPr>
        <w:t xml:space="preserve">of </w:t>
      </w:r>
      <w:r w:rsidRPr="008773D9">
        <w:rPr>
          <w:rFonts w:cs="Poppins"/>
          <w:color w:val="000000" w:themeColor="text1"/>
          <w:sz w:val="24"/>
          <w:szCs w:val="24"/>
          <w:lang w:val="en-US"/>
        </w:rPr>
        <w:t>its underlying investors who may be excused or excluded as permitted by the SEBI Circular.</w:t>
      </w:r>
      <w:r>
        <w:rPr>
          <w:rFonts w:cs="Poppins"/>
          <w:color w:val="000000" w:themeColor="text1"/>
          <w:sz w:val="24"/>
          <w:szCs w:val="24"/>
          <w:lang w:val="en-US"/>
        </w:rPr>
        <w:t xml:space="preserve">  This must also be supported by a </w:t>
      </w:r>
      <w:r w:rsidRPr="00387DF8">
        <w:rPr>
          <w:rFonts w:cs="Poppins"/>
          <w:color w:val="000000" w:themeColor="text1"/>
          <w:sz w:val="24"/>
          <w:szCs w:val="24"/>
          <w:lang w:val="en-US"/>
        </w:rPr>
        <w:t>record</w:t>
      </w:r>
      <w:r>
        <w:rPr>
          <w:rFonts w:cs="Poppins"/>
          <w:color w:val="000000" w:themeColor="text1"/>
          <w:sz w:val="24"/>
          <w:szCs w:val="24"/>
          <w:lang w:val="en-US"/>
        </w:rPr>
        <w:t>ing of</w:t>
      </w:r>
      <w:r w:rsidRPr="00387DF8">
        <w:rPr>
          <w:rFonts w:cs="Poppins"/>
          <w:color w:val="000000" w:themeColor="text1"/>
          <w:sz w:val="24"/>
          <w:szCs w:val="24"/>
          <w:lang w:val="en-US"/>
        </w:rPr>
        <w:t xml:space="preserve"> the rationale along with the documents relied upon</w:t>
      </w:r>
      <w:r>
        <w:rPr>
          <w:rFonts w:cs="Poppins"/>
          <w:color w:val="000000" w:themeColor="text1"/>
          <w:sz w:val="24"/>
          <w:szCs w:val="24"/>
          <w:lang w:val="en-US"/>
        </w:rPr>
        <w:t>.</w:t>
      </w:r>
    </w:p>
    <w:p w14:paraId="6F06C4BD" w14:textId="77777777" w:rsidR="00120E45" w:rsidRDefault="00120E45" w:rsidP="001B2E83">
      <w:pPr>
        <w:rPr>
          <w:rFonts w:cs="Poppins"/>
          <w:b/>
          <w:bCs/>
          <w:color w:val="000000" w:themeColor="text1"/>
          <w:sz w:val="24"/>
          <w:szCs w:val="24"/>
          <w:lang w:val="en-US"/>
        </w:rPr>
      </w:pPr>
    </w:p>
    <w:p w14:paraId="4031D72B" w14:textId="0E97C254" w:rsidR="00EB60A1" w:rsidRPr="00EB60A1" w:rsidRDefault="00EB60A1" w:rsidP="001B2E83">
      <w:pPr>
        <w:rPr>
          <w:rFonts w:cs="Poppins"/>
          <w:b/>
          <w:bCs/>
          <w:color w:val="000000" w:themeColor="text1"/>
          <w:sz w:val="24"/>
          <w:szCs w:val="24"/>
          <w:lang w:val="en-US"/>
        </w:rPr>
      </w:pPr>
      <w:r w:rsidRPr="00EB60A1">
        <w:rPr>
          <w:rFonts w:cs="Poppins"/>
          <w:b/>
          <w:bCs/>
          <w:color w:val="000000" w:themeColor="text1"/>
          <w:sz w:val="24"/>
          <w:szCs w:val="24"/>
          <w:lang w:val="en-US"/>
        </w:rPr>
        <w:lastRenderedPageBreak/>
        <w:t>Our comments</w:t>
      </w:r>
    </w:p>
    <w:p w14:paraId="35FD5EDB" w14:textId="2F1D3A3E" w:rsidR="00530531" w:rsidRPr="001B2E83" w:rsidRDefault="00FF1B74" w:rsidP="001B2E83">
      <w:pPr>
        <w:rPr>
          <w:rFonts w:cs="Poppins"/>
          <w:color w:val="000000" w:themeColor="text1"/>
          <w:sz w:val="24"/>
          <w:szCs w:val="24"/>
          <w:lang w:val="en-US"/>
        </w:rPr>
      </w:pPr>
      <w:r w:rsidRPr="001B2E83">
        <w:rPr>
          <w:rFonts w:cs="Poppins"/>
          <w:color w:val="000000" w:themeColor="text1"/>
          <w:sz w:val="24"/>
          <w:szCs w:val="24"/>
          <w:lang w:val="en-US"/>
        </w:rPr>
        <w:t>Certain l</w:t>
      </w:r>
      <w:r w:rsidR="00F61E38" w:rsidRPr="001B2E83">
        <w:rPr>
          <w:rFonts w:cs="Poppins"/>
          <w:color w:val="000000" w:themeColor="text1"/>
          <w:sz w:val="24"/>
          <w:szCs w:val="24"/>
          <w:lang w:val="en-US"/>
        </w:rPr>
        <w:t>imited partners or investors in</w:t>
      </w:r>
      <w:r w:rsidR="00E41AAE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PE or VC Funds</w:t>
      </w:r>
      <w:r w:rsidR="00D30D7E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Pr="001B2E83">
        <w:rPr>
          <w:rFonts w:cs="Poppins"/>
          <w:color w:val="000000" w:themeColor="text1"/>
          <w:sz w:val="24"/>
          <w:szCs w:val="24"/>
          <w:lang w:val="en-US"/>
        </w:rPr>
        <w:t>do not invest in</w:t>
      </w:r>
      <w:r w:rsidR="001A7F61" w:rsidRPr="001B2E83">
        <w:rPr>
          <w:rFonts w:cs="Poppins"/>
          <w:color w:val="000000" w:themeColor="text1"/>
          <w:sz w:val="24"/>
          <w:szCs w:val="24"/>
          <w:lang w:val="en-US"/>
        </w:rPr>
        <w:t>, for instance,</w:t>
      </w:r>
      <w:r w:rsidRPr="001B2E83">
        <w:rPr>
          <w:rFonts w:cs="Poppins"/>
          <w:color w:val="000000" w:themeColor="text1"/>
          <w:sz w:val="24"/>
          <w:szCs w:val="24"/>
          <w:lang w:val="en-US"/>
        </w:rPr>
        <w:t xml:space="preserve"> liquor-associated companies, gaming firms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>,</w:t>
      </w:r>
      <w:r w:rsidR="001A7F61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or </w:t>
      </w:r>
      <w:r w:rsidR="009F3B6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companies 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>in</w:t>
      </w:r>
      <w:r w:rsidR="009F3B6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a specific 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>sector</w:t>
      </w:r>
      <w:r w:rsidR="00D9506F">
        <w:rPr>
          <w:rFonts w:cs="Poppins"/>
          <w:color w:val="000000" w:themeColor="text1"/>
          <w:sz w:val="24"/>
          <w:szCs w:val="24"/>
          <w:lang w:val="en-US"/>
        </w:rPr>
        <w:t>,</w:t>
      </w:r>
      <w:r w:rsidR="009F3B6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as a matter of internal policy</w:t>
      </w:r>
      <w:r w:rsidR="00D30D7E" w:rsidRPr="001B2E83">
        <w:rPr>
          <w:rFonts w:cs="Poppins"/>
          <w:color w:val="000000" w:themeColor="text1"/>
          <w:sz w:val="24"/>
          <w:szCs w:val="24"/>
          <w:lang w:val="en-US"/>
        </w:rPr>
        <w:t>.</w:t>
      </w:r>
      <w:r w:rsidR="009F3B6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B35AFF" w:rsidRPr="001B2E83">
        <w:rPr>
          <w:rFonts w:cs="Poppins"/>
          <w:color w:val="000000" w:themeColor="text1"/>
          <w:sz w:val="24"/>
          <w:szCs w:val="24"/>
          <w:lang w:val="en-US"/>
        </w:rPr>
        <w:t xml:space="preserve">By </w:t>
      </w:r>
      <w:r w:rsidR="00B75206" w:rsidRPr="001B2E83">
        <w:rPr>
          <w:rFonts w:cs="Poppins"/>
          <w:color w:val="000000" w:themeColor="text1"/>
          <w:sz w:val="24"/>
          <w:szCs w:val="24"/>
          <w:lang w:val="en-US"/>
        </w:rPr>
        <w:t xml:space="preserve">making the recording of reasons mandatory, the </w:t>
      </w:r>
      <w:r w:rsidR="00C54FC5" w:rsidRPr="001B2E83">
        <w:rPr>
          <w:rFonts w:cs="Poppins"/>
          <w:color w:val="000000" w:themeColor="text1"/>
          <w:sz w:val="24"/>
          <w:szCs w:val="24"/>
          <w:lang w:val="en-US"/>
        </w:rPr>
        <w:t>C</w:t>
      </w:r>
      <w:r w:rsidR="00B75206" w:rsidRPr="001B2E83">
        <w:rPr>
          <w:rFonts w:cs="Poppins"/>
          <w:color w:val="000000" w:themeColor="text1"/>
          <w:sz w:val="24"/>
          <w:szCs w:val="24"/>
          <w:lang w:val="en-US"/>
        </w:rPr>
        <w:t>ircular introduces transparency</w:t>
      </w:r>
      <w:r w:rsidR="00BF1B87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and counters the practice of excluding certain limited partners or investors if there 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>is</w:t>
      </w:r>
      <w:r w:rsidR="00BF1B87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a loss in certain investments.</w:t>
      </w:r>
      <w:r w:rsidR="00B75206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B2E83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</w:t>
      </w:r>
      <w:r w:rsidR="00157595" w:rsidRPr="001B2E83">
        <w:rPr>
          <w:rFonts w:cs="Poppins"/>
          <w:color w:val="000000" w:themeColor="text1"/>
          <w:sz w:val="24"/>
          <w:szCs w:val="24"/>
          <w:lang w:val="en-US"/>
        </w:rPr>
        <w:t>By crystallizing the excuse provisions, investors can no longer cherry-pick deals under the guise of excuse rights, as investors w</w:t>
      </w:r>
      <w:r w:rsidR="00EB60A1">
        <w:rPr>
          <w:rFonts w:cs="Poppins"/>
          <w:color w:val="000000" w:themeColor="text1"/>
          <w:sz w:val="24"/>
          <w:szCs w:val="24"/>
          <w:lang w:val="en-US"/>
        </w:rPr>
        <w:t>ill</w:t>
      </w:r>
      <w:r w:rsidR="00157595" w:rsidRPr="001B2E83">
        <w:rPr>
          <w:rFonts w:cs="Poppins"/>
          <w:color w:val="000000" w:themeColor="text1"/>
          <w:sz w:val="24"/>
          <w:szCs w:val="24"/>
          <w:lang w:val="en-US"/>
        </w:rPr>
        <w:t xml:space="preserve"> now be required to </w:t>
      </w:r>
      <w:r w:rsidR="00C54FC5" w:rsidRPr="001B2E83">
        <w:rPr>
          <w:rFonts w:cs="Poppins"/>
          <w:color w:val="000000" w:themeColor="text1"/>
          <w:sz w:val="24"/>
          <w:szCs w:val="24"/>
          <w:lang w:val="en-US"/>
        </w:rPr>
        <w:t xml:space="preserve">make upfront disclosures of the industries </w:t>
      </w:r>
      <w:r w:rsidR="00273A94">
        <w:rPr>
          <w:rFonts w:cs="Poppins"/>
          <w:color w:val="000000" w:themeColor="text1"/>
          <w:sz w:val="24"/>
          <w:szCs w:val="24"/>
          <w:lang w:val="en-US"/>
        </w:rPr>
        <w:t xml:space="preserve">in which </w:t>
      </w:r>
      <w:r w:rsidR="00C54FC5" w:rsidRPr="001B2E83">
        <w:rPr>
          <w:rFonts w:cs="Poppins"/>
          <w:color w:val="000000" w:themeColor="text1"/>
          <w:sz w:val="24"/>
          <w:szCs w:val="24"/>
          <w:lang w:val="en-US"/>
        </w:rPr>
        <w:t>they are prohibited from investing as a matter of internal policy.</w:t>
      </w:r>
    </w:p>
    <w:sectPr w:rsidR="00530531" w:rsidRPr="001B2E83" w:rsidSect="002707A0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C3BA7" w14:textId="77777777" w:rsidR="00FA2AB5" w:rsidRDefault="00FA2AB5" w:rsidP="008E3EFC">
      <w:pPr>
        <w:spacing w:after="0" w:line="240" w:lineRule="auto"/>
      </w:pPr>
      <w:r>
        <w:separator/>
      </w:r>
    </w:p>
  </w:endnote>
  <w:endnote w:type="continuationSeparator" w:id="0">
    <w:p w14:paraId="3E0FB158" w14:textId="77777777" w:rsidR="00FA2AB5" w:rsidRDefault="00FA2AB5" w:rsidP="008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DAFE" w14:textId="77777777" w:rsidR="003A4537" w:rsidRDefault="003A4537" w:rsidP="003A4537">
    <w:pPr>
      <w:pStyle w:val="Footer"/>
      <w:rPr>
        <w:sz w:val="18"/>
        <w:szCs w:val="18"/>
      </w:rPr>
    </w:pPr>
  </w:p>
  <w:p w14:paraId="2F220A32" w14:textId="2EEA1D1E" w:rsidR="003A4537" w:rsidRPr="003A4537" w:rsidRDefault="003A4537" w:rsidP="003A4537">
    <w:pPr>
      <w:pStyle w:val="MP-Author"/>
    </w:pPr>
    <w:r w:rsidRPr="003A4537">
      <w:t>Raheja Chambers, 2nd floor, Free Press Journal Road, Nariman Point, Mumbai 400 021, India</w:t>
    </w:r>
  </w:p>
  <w:p w14:paraId="47EDDFDA" w14:textId="77777777" w:rsidR="003A4537" w:rsidRPr="003A4537" w:rsidRDefault="003A4537" w:rsidP="003A4537">
    <w:pPr>
      <w:pStyle w:val="MP-Author"/>
    </w:pPr>
    <w:r w:rsidRPr="003A4537">
      <w:t>Tel: +91 22 6123-7272; Fax: 6123-7252; E-mail: mailbox@majmudarindia.com</w:t>
    </w:r>
  </w:p>
  <w:p w14:paraId="0BB1972C" w14:textId="147EAC34" w:rsidR="003A4537" w:rsidRPr="003A4537" w:rsidRDefault="003A4537" w:rsidP="003A4537">
    <w:pPr>
      <w:pStyle w:val="MP-Author"/>
    </w:pPr>
    <w:r w:rsidRPr="003A4537">
      <w:t>Other Office – Bangalore | Integrated Network Offices – Chennai, Hyderabad and New Delhi</w:t>
    </w:r>
  </w:p>
  <w:p w14:paraId="7665AC2D" w14:textId="45F2403B" w:rsidR="008E3EFC" w:rsidRPr="003A4537" w:rsidRDefault="00000000" w:rsidP="003A4537">
    <w:pPr>
      <w:pStyle w:val="MP-Author"/>
    </w:pPr>
    <w:hyperlink r:id="rId1" w:history="1">
      <w:r w:rsidR="003A4537" w:rsidRPr="003A4537">
        <w:rPr>
          <w:rStyle w:val="Hyperlink"/>
        </w:rPr>
        <w:t>www.majmudarindia.com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FB4C6" w14:textId="77777777" w:rsidR="00FA2AB5" w:rsidRDefault="00FA2AB5" w:rsidP="008E3EFC">
      <w:pPr>
        <w:spacing w:after="0" w:line="240" w:lineRule="auto"/>
      </w:pPr>
      <w:r>
        <w:separator/>
      </w:r>
    </w:p>
  </w:footnote>
  <w:footnote w:type="continuationSeparator" w:id="0">
    <w:p w14:paraId="02EB0AAC" w14:textId="77777777" w:rsidR="00FA2AB5" w:rsidRDefault="00FA2AB5" w:rsidP="008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3810"/>
      <w:docPartObj>
        <w:docPartGallery w:val="Page Numbers (Margins)"/>
        <w:docPartUnique/>
      </w:docPartObj>
    </w:sdtPr>
    <w:sdtContent>
      <w:p w14:paraId="55607BAE" w14:textId="2372AD81" w:rsidR="002707A0" w:rsidRDefault="00845695" w:rsidP="00AD2397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6AC427" wp14:editId="6A7B67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3FA17" w14:textId="1471D330" w:rsidR="00845695" w:rsidRPr="00845695" w:rsidRDefault="00845695" w:rsidP="00845695">
                              <w:pPr>
                                <w:pStyle w:val="Footer"/>
                                <w:ind w:left="4513" w:hanging="4513"/>
                                <w:rPr>
                                  <w:rFonts w:eastAsiaTheme="majorEastAsia" w:cstheme="minorHAnsi"/>
                                  <w:color w:val="00645B"/>
                                  <w:sz w:val="20"/>
                                  <w:szCs w:val="20"/>
                                </w:rPr>
                              </w:pPr>
                              <w:r w:rsidRPr="00845695">
                                <w:rPr>
                                  <w:rFonts w:eastAsiaTheme="maj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Pr="00845695">
                                <w:rPr>
                                  <w:rFonts w:eastAsiaTheme="min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45695">
                                <w:rPr>
                                  <w:rFonts w:cstheme="minorHAnsi"/>
                                  <w:color w:val="00645B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845695">
                                <w:rPr>
                                  <w:rFonts w:eastAsiaTheme="min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845695">
                                <w:rPr>
                                  <w:rFonts w:eastAsiaTheme="majorEastAsia" w:cstheme="minorHAnsi"/>
                                  <w:noProof/>
                                  <w:color w:val="00645B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845695">
                                <w:rPr>
                                  <w:rFonts w:eastAsiaTheme="majorEastAsia" w:cstheme="minorHAnsi"/>
                                  <w:noProof/>
                                  <w:color w:val="00645B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A6AC427" id="Rectangle 9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CF3FA17" w14:textId="1471D330" w:rsidR="00845695" w:rsidRPr="00845695" w:rsidRDefault="00845695" w:rsidP="00845695">
                        <w:pPr>
                          <w:pStyle w:val="Footer"/>
                          <w:ind w:left="4513" w:hanging="4513"/>
                          <w:rPr>
                            <w:rFonts w:eastAsiaTheme="majorEastAsia" w:cstheme="minorHAnsi"/>
                            <w:color w:val="00645B"/>
                            <w:sz w:val="20"/>
                            <w:szCs w:val="20"/>
                          </w:rPr>
                        </w:pPr>
                        <w:r w:rsidRPr="00845695">
                          <w:rPr>
                            <w:rFonts w:eastAsiaTheme="majorEastAsia" w:cstheme="minorHAnsi"/>
                            <w:color w:val="00645B"/>
                            <w:sz w:val="20"/>
                            <w:szCs w:val="20"/>
                          </w:rPr>
                          <w:t xml:space="preserve">Page </w:t>
                        </w:r>
                        <w:r w:rsidRPr="00845695">
                          <w:rPr>
                            <w:rFonts w:eastAsiaTheme="minorEastAsia" w:cstheme="minorHAnsi"/>
                            <w:color w:val="00645B"/>
                            <w:sz w:val="20"/>
                            <w:szCs w:val="20"/>
                          </w:rPr>
                          <w:fldChar w:fldCharType="begin"/>
                        </w:r>
                        <w:r w:rsidRPr="00845695">
                          <w:rPr>
                            <w:rFonts w:cstheme="minorHAnsi"/>
                            <w:color w:val="00645B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845695">
                          <w:rPr>
                            <w:rFonts w:eastAsiaTheme="minorEastAsia" w:cstheme="minorHAnsi"/>
                            <w:color w:val="00645B"/>
                            <w:sz w:val="20"/>
                            <w:szCs w:val="20"/>
                          </w:rPr>
                          <w:fldChar w:fldCharType="separate"/>
                        </w:r>
                        <w:r w:rsidRPr="00845695">
                          <w:rPr>
                            <w:rFonts w:eastAsiaTheme="majorEastAsia" w:cstheme="minorHAnsi"/>
                            <w:noProof/>
                            <w:color w:val="00645B"/>
                            <w:sz w:val="20"/>
                            <w:szCs w:val="20"/>
                          </w:rPr>
                          <w:t>2</w:t>
                        </w:r>
                        <w:r w:rsidRPr="00845695">
                          <w:rPr>
                            <w:rFonts w:eastAsiaTheme="majorEastAsia" w:cstheme="minorHAnsi"/>
                            <w:noProof/>
                            <w:color w:val="00645B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FF24484" w14:textId="39DC4487" w:rsidR="002707A0" w:rsidRDefault="00334E95" w:rsidP="001D0F84">
    <w:pPr>
      <w:pStyle w:val="Header"/>
      <w:jc w:val="center"/>
    </w:pPr>
    <w:r>
      <w:rPr>
        <w:noProof/>
      </w:rPr>
      <w:drawing>
        <wp:inline distT="0" distB="0" distL="0" distR="0" wp14:anchorId="523DB51A" wp14:editId="245979EB">
          <wp:extent cx="2146855" cy="357809"/>
          <wp:effectExtent l="0" t="0" r="6350" b="4445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66" cy="36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24CD"/>
    <w:multiLevelType w:val="hybridMultilevel"/>
    <w:tmpl w:val="262E39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2FF9"/>
    <w:multiLevelType w:val="hybridMultilevel"/>
    <w:tmpl w:val="6002C5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E351F"/>
    <w:multiLevelType w:val="hybridMultilevel"/>
    <w:tmpl w:val="31E47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72085"/>
    <w:multiLevelType w:val="hybridMultilevel"/>
    <w:tmpl w:val="70780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4087B"/>
    <w:multiLevelType w:val="hybridMultilevel"/>
    <w:tmpl w:val="FF5E50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E57"/>
    <w:multiLevelType w:val="hybridMultilevel"/>
    <w:tmpl w:val="32881C9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07FD"/>
    <w:multiLevelType w:val="hybridMultilevel"/>
    <w:tmpl w:val="47B08216"/>
    <w:lvl w:ilvl="0" w:tplc="400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7" w15:restartNumberingAfterBreak="0">
    <w:nsid w:val="511A212D"/>
    <w:multiLevelType w:val="hybridMultilevel"/>
    <w:tmpl w:val="7C8EB8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A4263"/>
    <w:multiLevelType w:val="hybridMultilevel"/>
    <w:tmpl w:val="66D8FFD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203481">
    <w:abstractNumId w:val="3"/>
  </w:num>
  <w:num w:numId="2" w16cid:durableId="926616478">
    <w:abstractNumId w:val="5"/>
  </w:num>
  <w:num w:numId="3" w16cid:durableId="574440685">
    <w:abstractNumId w:val="2"/>
  </w:num>
  <w:num w:numId="4" w16cid:durableId="1505780674">
    <w:abstractNumId w:val="0"/>
  </w:num>
  <w:num w:numId="5" w16cid:durableId="1658532674">
    <w:abstractNumId w:val="1"/>
  </w:num>
  <w:num w:numId="6" w16cid:durableId="497231634">
    <w:abstractNumId w:val="4"/>
  </w:num>
  <w:num w:numId="7" w16cid:durableId="869680872">
    <w:abstractNumId w:val="7"/>
  </w:num>
  <w:num w:numId="8" w16cid:durableId="1721780094">
    <w:abstractNumId w:val="8"/>
  </w:num>
  <w:num w:numId="9" w16cid:durableId="2088529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19C"/>
    <w:rsid w:val="00010152"/>
    <w:rsid w:val="00012644"/>
    <w:rsid w:val="000140DB"/>
    <w:rsid w:val="0002135F"/>
    <w:rsid w:val="00037496"/>
    <w:rsid w:val="000549C1"/>
    <w:rsid w:val="0005703D"/>
    <w:rsid w:val="000708B5"/>
    <w:rsid w:val="00071160"/>
    <w:rsid w:val="00071435"/>
    <w:rsid w:val="0008558A"/>
    <w:rsid w:val="0008793F"/>
    <w:rsid w:val="00091C7D"/>
    <w:rsid w:val="000B5148"/>
    <w:rsid w:val="000B55F9"/>
    <w:rsid w:val="000C4824"/>
    <w:rsid w:val="000C4F7E"/>
    <w:rsid w:val="000D00D3"/>
    <w:rsid w:val="000D14E8"/>
    <w:rsid w:val="000D1C56"/>
    <w:rsid w:val="000D2659"/>
    <w:rsid w:val="000D76E3"/>
    <w:rsid w:val="000E166C"/>
    <w:rsid w:val="000E272B"/>
    <w:rsid w:val="000E38B6"/>
    <w:rsid w:val="000F1916"/>
    <w:rsid w:val="000F287B"/>
    <w:rsid w:val="000F33DC"/>
    <w:rsid w:val="000F52B4"/>
    <w:rsid w:val="000F7A4C"/>
    <w:rsid w:val="001010E7"/>
    <w:rsid w:val="00120E45"/>
    <w:rsid w:val="00124434"/>
    <w:rsid w:val="00133274"/>
    <w:rsid w:val="00135804"/>
    <w:rsid w:val="00136998"/>
    <w:rsid w:val="0014438B"/>
    <w:rsid w:val="00157595"/>
    <w:rsid w:val="0016003E"/>
    <w:rsid w:val="001602C6"/>
    <w:rsid w:val="00160B41"/>
    <w:rsid w:val="00165639"/>
    <w:rsid w:val="001713EE"/>
    <w:rsid w:val="001731F5"/>
    <w:rsid w:val="00174AD1"/>
    <w:rsid w:val="00174E60"/>
    <w:rsid w:val="00181707"/>
    <w:rsid w:val="00190BA2"/>
    <w:rsid w:val="00193072"/>
    <w:rsid w:val="001A7F61"/>
    <w:rsid w:val="001B1BBA"/>
    <w:rsid w:val="001B2E83"/>
    <w:rsid w:val="001B3B2C"/>
    <w:rsid w:val="001C130C"/>
    <w:rsid w:val="001C7490"/>
    <w:rsid w:val="001D0F84"/>
    <w:rsid w:val="001F2B9C"/>
    <w:rsid w:val="001F2E0A"/>
    <w:rsid w:val="001F55FB"/>
    <w:rsid w:val="002026DE"/>
    <w:rsid w:val="00203972"/>
    <w:rsid w:val="00227085"/>
    <w:rsid w:val="00237308"/>
    <w:rsid w:val="00250B0A"/>
    <w:rsid w:val="00255E1D"/>
    <w:rsid w:val="002609DD"/>
    <w:rsid w:val="002707A0"/>
    <w:rsid w:val="00273A94"/>
    <w:rsid w:val="002817CC"/>
    <w:rsid w:val="00295D9E"/>
    <w:rsid w:val="002A3D88"/>
    <w:rsid w:val="002B0C5D"/>
    <w:rsid w:val="002B2BBE"/>
    <w:rsid w:val="002B6540"/>
    <w:rsid w:val="002B6D92"/>
    <w:rsid w:val="002D189D"/>
    <w:rsid w:val="002D7C65"/>
    <w:rsid w:val="002E285A"/>
    <w:rsid w:val="002E3EA0"/>
    <w:rsid w:val="002E6F80"/>
    <w:rsid w:val="002E7209"/>
    <w:rsid w:val="00304156"/>
    <w:rsid w:val="00305773"/>
    <w:rsid w:val="00313F4D"/>
    <w:rsid w:val="00332131"/>
    <w:rsid w:val="00334E95"/>
    <w:rsid w:val="0034594E"/>
    <w:rsid w:val="00350198"/>
    <w:rsid w:val="00354660"/>
    <w:rsid w:val="00360C71"/>
    <w:rsid w:val="00363200"/>
    <w:rsid w:val="00372C3F"/>
    <w:rsid w:val="0037412F"/>
    <w:rsid w:val="00381810"/>
    <w:rsid w:val="00387DF8"/>
    <w:rsid w:val="00392B33"/>
    <w:rsid w:val="00392C8C"/>
    <w:rsid w:val="003A4537"/>
    <w:rsid w:val="003A66B4"/>
    <w:rsid w:val="003B0A69"/>
    <w:rsid w:val="003B3267"/>
    <w:rsid w:val="003C2CBB"/>
    <w:rsid w:val="003D1C23"/>
    <w:rsid w:val="003F6C2A"/>
    <w:rsid w:val="00407B19"/>
    <w:rsid w:val="0042599E"/>
    <w:rsid w:val="00427716"/>
    <w:rsid w:val="00427ABF"/>
    <w:rsid w:val="00430A77"/>
    <w:rsid w:val="004347FD"/>
    <w:rsid w:val="00435B50"/>
    <w:rsid w:val="00447808"/>
    <w:rsid w:val="004530A9"/>
    <w:rsid w:val="00454506"/>
    <w:rsid w:val="00457A19"/>
    <w:rsid w:val="0046330D"/>
    <w:rsid w:val="00465A08"/>
    <w:rsid w:val="004661FA"/>
    <w:rsid w:val="004667DF"/>
    <w:rsid w:val="00472B0A"/>
    <w:rsid w:val="00482185"/>
    <w:rsid w:val="00482D48"/>
    <w:rsid w:val="004B4239"/>
    <w:rsid w:val="004D78DF"/>
    <w:rsid w:val="004E39AC"/>
    <w:rsid w:val="004E7DE7"/>
    <w:rsid w:val="004F0072"/>
    <w:rsid w:val="004F1092"/>
    <w:rsid w:val="004F36C1"/>
    <w:rsid w:val="005130BB"/>
    <w:rsid w:val="005156DE"/>
    <w:rsid w:val="00520252"/>
    <w:rsid w:val="00530531"/>
    <w:rsid w:val="00530B60"/>
    <w:rsid w:val="00534119"/>
    <w:rsid w:val="00544272"/>
    <w:rsid w:val="005470F7"/>
    <w:rsid w:val="005714B0"/>
    <w:rsid w:val="00572E58"/>
    <w:rsid w:val="005740F0"/>
    <w:rsid w:val="00583FB2"/>
    <w:rsid w:val="00587FB2"/>
    <w:rsid w:val="00592021"/>
    <w:rsid w:val="00592CB7"/>
    <w:rsid w:val="005953A5"/>
    <w:rsid w:val="00595FB7"/>
    <w:rsid w:val="0059625C"/>
    <w:rsid w:val="005B51A6"/>
    <w:rsid w:val="005B6B92"/>
    <w:rsid w:val="005C3337"/>
    <w:rsid w:val="005D533F"/>
    <w:rsid w:val="005D6F23"/>
    <w:rsid w:val="005E6C19"/>
    <w:rsid w:val="005F06B9"/>
    <w:rsid w:val="00617A1B"/>
    <w:rsid w:val="006309E3"/>
    <w:rsid w:val="006316DE"/>
    <w:rsid w:val="00633F08"/>
    <w:rsid w:val="00642ED4"/>
    <w:rsid w:val="006430B6"/>
    <w:rsid w:val="00643D0E"/>
    <w:rsid w:val="006472E9"/>
    <w:rsid w:val="006517C1"/>
    <w:rsid w:val="00651F98"/>
    <w:rsid w:val="006538E9"/>
    <w:rsid w:val="0067283A"/>
    <w:rsid w:val="00681EB7"/>
    <w:rsid w:val="006B1F70"/>
    <w:rsid w:val="006B2566"/>
    <w:rsid w:val="006B30A3"/>
    <w:rsid w:val="006B4B57"/>
    <w:rsid w:val="006F57B2"/>
    <w:rsid w:val="0070435D"/>
    <w:rsid w:val="007069BE"/>
    <w:rsid w:val="00707DE0"/>
    <w:rsid w:val="00714C01"/>
    <w:rsid w:val="007154FE"/>
    <w:rsid w:val="00721F88"/>
    <w:rsid w:val="00742419"/>
    <w:rsid w:val="007478E5"/>
    <w:rsid w:val="00765EDE"/>
    <w:rsid w:val="007728A7"/>
    <w:rsid w:val="007861C6"/>
    <w:rsid w:val="0079186E"/>
    <w:rsid w:val="007A02A4"/>
    <w:rsid w:val="007A441F"/>
    <w:rsid w:val="007A6165"/>
    <w:rsid w:val="007B2344"/>
    <w:rsid w:val="007B7EF4"/>
    <w:rsid w:val="007C6687"/>
    <w:rsid w:val="007C6BC5"/>
    <w:rsid w:val="007E6FC6"/>
    <w:rsid w:val="00807070"/>
    <w:rsid w:val="00807E5F"/>
    <w:rsid w:val="00820629"/>
    <w:rsid w:val="00822D5E"/>
    <w:rsid w:val="00830465"/>
    <w:rsid w:val="00845695"/>
    <w:rsid w:val="00857228"/>
    <w:rsid w:val="00865658"/>
    <w:rsid w:val="00871909"/>
    <w:rsid w:val="00873E3E"/>
    <w:rsid w:val="008746A7"/>
    <w:rsid w:val="00875209"/>
    <w:rsid w:val="00877315"/>
    <w:rsid w:val="008773D9"/>
    <w:rsid w:val="00880810"/>
    <w:rsid w:val="00885CBA"/>
    <w:rsid w:val="00893891"/>
    <w:rsid w:val="008A1C25"/>
    <w:rsid w:val="008D30C9"/>
    <w:rsid w:val="008D3DB1"/>
    <w:rsid w:val="008E3EFC"/>
    <w:rsid w:val="008E606D"/>
    <w:rsid w:val="008F1F3A"/>
    <w:rsid w:val="00904332"/>
    <w:rsid w:val="009074E6"/>
    <w:rsid w:val="00931C4A"/>
    <w:rsid w:val="00933CF9"/>
    <w:rsid w:val="009543E6"/>
    <w:rsid w:val="009546CC"/>
    <w:rsid w:val="0095559C"/>
    <w:rsid w:val="00962960"/>
    <w:rsid w:val="0097500A"/>
    <w:rsid w:val="00982C2C"/>
    <w:rsid w:val="009A15C6"/>
    <w:rsid w:val="009A5FC4"/>
    <w:rsid w:val="009B4382"/>
    <w:rsid w:val="009B50DF"/>
    <w:rsid w:val="009B7CD0"/>
    <w:rsid w:val="009C2CEB"/>
    <w:rsid w:val="009C3116"/>
    <w:rsid w:val="009D0C7E"/>
    <w:rsid w:val="009D61F4"/>
    <w:rsid w:val="009E5A1A"/>
    <w:rsid w:val="009F3B63"/>
    <w:rsid w:val="009F62EE"/>
    <w:rsid w:val="00A15AE8"/>
    <w:rsid w:val="00A16A9D"/>
    <w:rsid w:val="00A266F7"/>
    <w:rsid w:val="00A30ECF"/>
    <w:rsid w:val="00A418C6"/>
    <w:rsid w:val="00A60356"/>
    <w:rsid w:val="00A62194"/>
    <w:rsid w:val="00A67C27"/>
    <w:rsid w:val="00A86873"/>
    <w:rsid w:val="00A91217"/>
    <w:rsid w:val="00AA3676"/>
    <w:rsid w:val="00AB4386"/>
    <w:rsid w:val="00AD2397"/>
    <w:rsid w:val="00AD2BEB"/>
    <w:rsid w:val="00AE26BA"/>
    <w:rsid w:val="00AF34BA"/>
    <w:rsid w:val="00B07840"/>
    <w:rsid w:val="00B25C64"/>
    <w:rsid w:val="00B35AFF"/>
    <w:rsid w:val="00B37984"/>
    <w:rsid w:val="00B411C8"/>
    <w:rsid w:val="00B4374C"/>
    <w:rsid w:val="00B4554D"/>
    <w:rsid w:val="00B566EA"/>
    <w:rsid w:val="00B72BBF"/>
    <w:rsid w:val="00B75206"/>
    <w:rsid w:val="00B8144D"/>
    <w:rsid w:val="00B85E34"/>
    <w:rsid w:val="00B87F4C"/>
    <w:rsid w:val="00B940A5"/>
    <w:rsid w:val="00B97612"/>
    <w:rsid w:val="00BB1D6A"/>
    <w:rsid w:val="00BB3A6C"/>
    <w:rsid w:val="00BB57B5"/>
    <w:rsid w:val="00BB5D45"/>
    <w:rsid w:val="00BC4D0F"/>
    <w:rsid w:val="00BD186E"/>
    <w:rsid w:val="00BD4F48"/>
    <w:rsid w:val="00BE2271"/>
    <w:rsid w:val="00BF0493"/>
    <w:rsid w:val="00BF1B87"/>
    <w:rsid w:val="00C06828"/>
    <w:rsid w:val="00C1391F"/>
    <w:rsid w:val="00C164F2"/>
    <w:rsid w:val="00C21B46"/>
    <w:rsid w:val="00C23D97"/>
    <w:rsid w:val="00C30014"/>
    <w:rsid w:val="00C34CF6"/>
    <w:rsid w:val="00C36960"/>
    <w:rsid w:val="00C40EC4"/>
    <w:rsid w:val="00C441C5"/>
    <w:rsid w:val="00C50DBF"/>
    <w:rsid w:val="00C5357F"/>
    <w:rsid w:val="00C54FC5"/>
    <w:rsid w:val="00C5510F"/>
    <w:rsid w:val="00C56304"/>
    <w:rsid w:val="00C57AD5"/>
    <w:rsid w:val="00C60469"/>
    <w:rsid w:val="00C64593"/>
    <w:rsid w:val="00C70D17"/>
    <w:rsid w:val="00C809FC"/>
    <w:rsid w:val="00C81770"/>
    <w:rsid w:val="00C95600"/>
    <w:rsid w:val="00CA0104"/>
    <w:rsid w:val="00CB229D"/>
    <w:rsid w:val="00CB6EF6"/>
    <w:rsid w:val="00CC7FDD"/>
    <w:rsid w:val="00CD0898"/>
    <w:rsid w:val="00CD57B0"/>
    <w:rsid w:val="00CD7887"/>
    <w:rsid w:val="00CE3EBC"/>
    <w:rsid w:val="00CE41D3"/>
    <w:rsid w:val="00CF722D"/>
    <w:rsid w:val="00CF7D9C"/>
    <w:rsid w:val="00D077E0"/>
    <w:rsid w:val="00D11F25"/>
    <w:rsid w:val="00D24BB2"/>
    <w:rsid w:val="00D272F3"/>
    <w:rsid w:val="00D30D7E"/>
    <w:rsid w:val="00D34EA0"/>
    <w:rsid w:val="00D37CAD"/>
    <w:rsid w:val="00D54920"/>
    <w:rsid w:val="00D5589E"/>
    <w:rsid w:val="00D62669"/>
    <w:rsid w:val="00D771F7"/>
    <w:rsid w:val="00D84D64"/>
    <w:rsid w:val="00D866B1"/>
    <w:rsid w:val="00D871F6"/>
    <w:rsid w:val="00D93AE5"/>
    <w:rsid w:val="00D9506F"/>
    <w:rsid w:val="00D96661"/>
    <w:rsid w:val="00DA2D78"/>
    <w:rsid w:val="00DA60C1"/>
    <w:rsid w:val="00DB53D5"/>
    <w:rsid w:val="00DD059F"/>
    <w:rsid w:val="00DD6195"/>
    <w:rsid w:val="00DD709C"/>
    <w:rsid w:val="00DE3B1D"/>
    <w:rsid w:val="00DE5DC0"/>
    <w:rsid w:val="00DE665D"/>
    <w:rsid w:val="00DE66A0"/>
    <w:rsid w:val="00DF095A"/>
    <w:rsid w:val="00E03BC1"/>
    <w:rsid w:val="00E06AC5"/>
    <w:rsid w:val="00E22B1E"/>
    <w:rsid w:val="00E32901"/>
    <w:rsid w:val="00E41AAE"/>
    <w:rsid w:val="00E50A5F"/>
    <w:rsid w:val="00E50AFF"/>
    <w:rsid w:val="00E60BBE"/>
    <w:rsid w:val="00E85588"/>
    <w:rsid w:val="00E9599B"/>
    <w:rsid w:val="00EA4421"/>
    <w:rsid w:val="00EA4942"/>
    <w:rsid w:val="00EA4D5D"/>
    <w:rsid w:val="00EB069E"/>
    <w:rsid w:val="00EB212B"/>
    <w:rsid w:val="00EB5F7F"/>
    <w:rsid w:val="00EB60A1"/>
    <w:rsid w:val="00EB6195"/>
    <w:rsid w:val="00ED65AE"/>
    <w:rsid w:val="00EE0831"/>
    <w:rsid w:val="00F029BF"/>
    <w:rsid w:val="00F05771"/>
    <w:rsid w:val="00F10CDD"/>
    <w:rsid w:val="00F10DE8"/>
    <w:rsid w:val="00F10DEF"/>
    <w:rsid w:val="00F16FCE"/>
    <w:rsid w:val="00F20FA1"/>
    <w:rsid w:val="00F3022D"/>
    <w:rsid w:val="00F31A66"/>
    <w:rsid w:val="00F3265D"/>
    <w:rsid w:val="00F32FF8"/>
    <w:rsid w:val="00F35558"/>
    <w:rsid w:val="00F377C7"/>
    <w:rsid w:val="00F46040"/>
    <w:rsid w:val="00F504D7"/>
    <w:rsid w:val="00F61E38"/>
    <w:rsid w:val="00F7535A"/>
    <w:rsid w:val="00F81501"/>
    <w:rsid w:val="00F845BA"/>
    <w:rsid w:val="00F955E1"/>
    <w:rsid w:val="00F973AA"/>
    <w:rsid w:val="00FA2AB5"/>
    <w:rsid w:val="00FA719C"/>
    <w:rsid w:val="00FB159D"/>
    <w:rsid w:val="00FB220A"/>
    <w:rsid w:val="00FC5A63"/>
    <w:rsid w:val="00FF1B74"/>
    <w:rsid w:val="00FF1E5F"/>
    <w:rsid w:val="00FF3256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135F"/>
  <w15:chartTrackingRefBased/>
  <w15:docId w15:val="{932BFEEE-B003-4A33-ACBA-5FBB26E2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3A4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2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FC"/>
  </w:style>
  <w:style w:type="paragraph" w:styleId="Footer">
    <w:name w:val="footer"/>
    <w:basedOn w:val="Normal"/>
    <w:link w:val="FooterChar"/>
    <w:uiPriority w:val="99"/>
    <w:unhideWhenUsed/>
    <w:rsid w:val="008E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FC"/>
  </w:style>
  <w:style w:type="character" w:styleId="PageNumber">
    <w:name w:val="page number"/>
    <w:basedOn w:val="DefaultParagraphFont"/>
    <w:semiHidden/>
    <w:unhideWhenUsed/>
    <w:rsid w:val="002707A0"/>
  </w:style>
  <w:style w:type="character" w:customStyle="1" w:styleId="Heading1Char">
    <w:name w:val="Heading 1 Char"/>
    <w:basedOn w:val="DefaultParagraphFont"/>
    <w:link w:val="Heading1"/>
    <w:uiPriority w:val="9"/>
    <w:rsid w:val="003A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PHeading1">
    <w:name w:val="M&amp;P Heading 1"/>
    <w:basedOn w:val="Heading1"/>
    <w:link w:val="MPHeading1Char"/>
    <w:qFormat/>
    <w:rsid w:val="003A4537"/>
    <w:rPr>
      <w:rFonts w:asciiTheme="minorHAnsi" w:hAnsiTheme="minorHAnsi"/>
      <w:b/>
      <w:color w:val="00645B"/>
      <w:sz w:val="28"/>
      <w:lang w:val="en-US"/>
    </w:rPr>
  </w:style>
  <w:style w:type="paragraph" w:customStyle="1" w:styleId="MP-Author">
    <w:name w:val="M&amp;P-Author"/>
    <w:basedOn w:val="Normal"/>
    <w:link w:val="MP-AuthorChar"/>
    <w:qFormat/>
    <w:rsid w:val="003A4537"/>
    <w:pPr>
      <w:spacing w:after="0" w:line="240" w:lineRule="auto"/>
    </w:pPr>
    <w:rPr>
      <w:rFonts w:cs="Poppins"/>
      <w:color w:val="AEAAAA" w:themeColor="background2" w:themeShade="BF"/>
      <w:sz w:val="20"/>
      <w:szCs w:val="18"/>
      <w:lang w:val="en-US"/>
    </w:rPr>
  </w:style>
  <w:style w:type="character" w:customStyle="1" w:styleId="MPHeading1Char">
    <w:name w:val="M&amp;P Heading 1 Char"/>
    <w:basedOn w:val="Heading1Char"/>
    <w:link w:val="MPHeading1"/>
    <w:rsid w:val="003A4537"/>
    <w:rPr>
      <w:rFonts w:asciiTheme="majorHAnsi" w:eastAsiaTheme="majorEastAsia" w:hAnsiTheme="majorHAnsi" w:cstheme="majorBidi"/>
      <w:b/>
      <w:color w:val="00645B"/>
      <w:sz w:val="28"/>
      <w:szCs w:val="32"/>
      <w:lang w:val="en-US"/>
    </w:rPr>
  </w:style>
  <w:style w:type="paragraph" w:customStyle="1" w:styleId="MP-Para">
    <w:name w:val="M&amp;P-Para"/>
    <w:basedOn w:val="Normal"/>
    <w:link w:val="MP-ParaChar"/>
    <w:qFormat/>
    <w:rsid w:val="003A4537"/>
    <w:pPr>
      <w:spacing w:after="0" w:line="240" w:lineRule="auto"/>
    </w:pPr>
    <w:rPr>
      <w:rFonts w:cs="Poppins"/>
      <w:color w:val="000000" w:themeColor="text1"/>
      <w:sz w:val="24"/>
      <w:szCs w:val="24"/>
      <w:lang w:val="en-US"/>
    </w:rPr>
  </w:style>
  <w:style w:type="character" w:customStyle="1" w:styleId="MP-AuthorChar">
    <w:name w:val="M&amp;P-Author Char"/>
    <w:basedOn w:val="DefaultParagraphFont"/>
    <w:link w:val="MP-Author"/>
    <w:rsid w:val="003A4537"/>
    <w:rPr>
      <w:rFonts w:cs="Poppins"/>
      <w:color w:val="AEAAAA" w:themeColor="background2" w:themeShade="BF"/>
      <w:sz w:val="20"/>
      <w:szCs w:val="18"/>
      <w:lang w:val="en-US"/>
    </w:rPr>
  </w:style>
  <w:style w:type="paragraph" w:customStyle="1" w:styleId="MP-Subheading">
    <w:name w:val="M&amp;P-Subheading"/>
    <w:basedOn w:val="Normal"/>
    <w:link w:val="MP-SubheadingChar"/>
    <w:qFormat/>
    <w:rsid w:val="003A4537"/>
    <w:pPr>
      <w:spacing w:after="0" w:line="240" w:lineRule="auto"/>
    </w:pPr>
    <w:rPr>
      <w:rFonts w:cs="Poppins"/>
      <w:b/>
      <w:bCs/>
      <w:color w:val="000000" w:themeColor="text1"/>
      <w:sz w:val="24"/>
      <w:szCs w:val="24"/>
    </w:rPr>
  </w:style>
  <w:style w:type="character" w:customStyle="1" w:styleId="MP-ParaChar">
    <w:name w:val="M&amp;P-Para Char"/>
    <w:basedOn w:val="DefaultParagraphFont"/>
    <w:link w:val="MP-Para"/>
    <w:rsid w:val="003A4537"/>
    <w:rPr>
      <w:rFonts w:cs="Poppins"/>
      <w:color w:val="000000" w:themeColor="text1"/>
      <w:sz w:val="24"/>
      <w:szCs w:val="24"/>
      <w:lang w:val="en-US"/>
    </w:rPr>
  </w:style>
  <w:style w:type="character" w:customStyle="1" w:styleId="MP-SubheadingChar">
    <w:name w:val="M&amp;P-Subheading Char"/>
    <w:basedOn w:val="DefaultParagraphFont"/>
    <w:link w:val="MP-Subheading"/>
    <w:rsid w:val="003A4537"/>
    <w:rPr>
      <w:rFonts w:cs="Poppins"/>
      <w:b/>
      <w:b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CD0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jmudarindi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</dc:creator>
  <cp:keywords/>
  <dc:description/>
  <cp:lastModifiedBy>M&amp;P</cp:lastModifiedBy>
  <cp:revision>17</cp:revision>
  <dcterms:created xsi:type="dcterms:W3CDTF">2023-04-19T13:47:00Z</dcterms:created>
  <dcterms:modified xsi:type="dcterms:W3CDTF">2023-05-12T14:49:00Z</dcterms:modified>
</cp:coreProperties>
</file>