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1961" w14:textId="05D5838A" w:rsidR="008E606D" w:rsidRPr="00C441C5" w:rsidRDefault="001E5CBF" w:rsidP="00062525">
      <w:pPr>
        <w:pStyle w:val="MPHeading1"/>
        <w:spacing w:before="0"/>
      </w:pPr>
      <w:r>
        <w:t xml:space="preserve">INDIA’S </w:t>
      </w:r>
      <w:r w:rsidR="0055382D">
        <w:t>SUPREME COURT RULES ON THE MAINTAINABILITY OF PROCEEDINGS AGAINST AUDITORS AFTER THEIR RESIGNATION</w:t>
      </w:r>
    </w:p>
    <w:p w14:paraId="17A90781" w14:textId="1CCF4646" w:rsidR="00DD678F" w:rsidRDefault="00DD678F" w:rsidP="00A67C27">
      <w:pPr>
        <w:pStyle w:val="MP-Para"/>
        <w:rPr>
          <w:rFonts w:cstheme="minorHAnsi"/>
        </w:rPr>
      </w:pPr>
      <w:r>
        <w:rPr>
          <w:rFonts w:cstheme="minorHAnsi"/>
        </w:rPr>
        <w:t xml:space="preserve">By: </w:t>
      </w:r>
      <w:r w:rsidR="00052CFF">
        <w:rPr>
          <w:rFonts w:cstheme="minorHAnsi"/>
        </w:rPr>
        <w:t>Neerav Merchant</w:t>
      </w:r>
      <w:r w:rsidR="00CD714B">
        <w:rPr>
          <w:rFonts w:cstheme="minorHAnsi"/>
        </w:rPr>
        <w:t>, Sinjini Majumdar &amp; Anshul Isaac</w:t>
      </w:r>
      <w:r w:rsidR="00052CFF">
        <w:rPr>
          <w:rFonts w:cstheme="minorHAnsi"/>
        </w:rPr>
        <w:t>, Majmudar &amp; Partners, India</w:t>
      </w:r>
    </w:p>
    <w:p w14:paraId="229BBCD5" w14:textId="77777777" w:rsidR="00DD678F" w:rsidRDefault="00DD678F" w:rsidP="00A67C27">
      <w:pPr>
        <w:pStyle w:val="MP-Para"/>
        <w:rPr>
          <w:rFonts w:cstheme="minorHAnsi"/>
        </w:rPr>
      </w:pPr>
    </w:p>
    <w:p w14:paraId="2980D031" w14:textId="49DFFC3D" w:rsidR="004E5DE8" w:rsidRPr="004E5DE8" w:rsidRDefault="004E5DE8" w:rsidP="004E5DE8">
      <w:pPr>
        <w:pStyle w:val="MP-Para"/>
        <w:rPr>
          <w:rFonts w:cstheme="minorHAnsi"/>
        </w:rPr>
      </w:pPr>
      <w:r w:rsidRPr="004E5DE8">
        <w:rPr>
          <w:rFonts w:cstheme="minorHAnsi"/>
        </w:rPr>
        <w:t xml:space="preserve">In a recent ruling, </w:t>
      </w:r>
      <w:r w:rsidR="00052CFF">
        <w:rPr>
          <w:rFonts w:cstheme="minorHAnsi"/>
        </w:rPr>
        <w:t>India’s</w:t>
      </w:r>
      <w:r w:rsidRPr="004E5DE8">
        <w:rPr>
          <w:rFonts w:cstheme="minorHAnsi"/>
        </w:rPr>
        <w:t xml:space="preserve"> </w:t>
      </w:r>
      <w:r>
        <w:rPr>
          <w:rFonts w:cstheme="minorHAnsi"/>
        </w:rPr>
        <w:t>Supreme Court</w:t>
      </w:r>
      <w:r w:rsidRPr="004E5DE8">
        <w:rPr>
          <w:rFonts w:cstheme="minorHAnsi"/>
        </w:rPr>
        <w:t xml:space="preserve"> has held that</w:t>
      </w:r>
      <w:r w:rsidR="00EE5F98">
        <w:rPr>
          <w:rFonts w:cstheme="minorHAnsi"/>
        </w:rPr>
        <w:t xml:space="preserve"> an</w:t>
      </w:r>
      <w:r w:rsidRPr="004E5DE8">
        <w:rPr>
          <w:rFonts w:cstheme="minorHAnsi"/>
        </w:rPr>
        <w:t xml:space="preserve"> </w:t>
      </w:r>
      <w:r w:rsidR="00EE5F98" w:rsidRPr="00EE5F98">
        <w:rPr>
          <w:rFonts w:cstheme="minorHAnsi"/>
        </w:rPr>
        <w:t>enquiry</w:t>
      </w:r>
      <w:r w:rsidR="00EE5F98">
        <w:rPr>
          <w:rFonts w:cstheme="minorHAnsi"/>
        </w:rPr>
        <w:t xml:space="preserve"> or </w:t>
      </w:r>
      <w:r w:rsidR="00EE5F98" w:rsidRPr="00EE5F98">
        <w:rPr>
          <w:rFonts w:cstheme="minorHAnsi"/>
        </w:rPr>
        <w:t>proceeding</w:t>
      </w:r>
      <w:r w:rsidR="00EE5F98">
        <w:rPr>
          <w:rFonts w:cstheme="minorHAnsi"/>
        </w:rPr>
        <w:t xml:space="preserve"> against </w:t>
      </w:r>
      <w:r w:rsidR="00052CFF">
        <w:rPr>
          <w:rFonts w:cstheme="minorHAnsi"/>
        </w:rPr>
        <w:t>an</w:t>
      </w:r>
      <w:r w:rsidR="00EE5F98">
        <w:rPr>
          <w:rFonts w:cstheme="minorHAnsi"/>
        </w:rPr>
        <w:t xml:space="preserve"> auditor of a company under Section 140(5) of the Companies Act, 2013</w:t>
      </w:r>
      <w:r w:rsidR="00B0651D">
        <w:rPr>
          <w:rFonts w:cstheme="minorHAnsi"/>
        </w:rPr>
        <w:t xml:space="preserve"> (the “</w:t>
      </w:r>
      <w:r w:rsidR="00B0651D" w:rsidRPr="00B0651D">
        <w:rPr>
          <w:rFonts w:cstheme="minorHAnsi"/>
          <w:b/>
          <w:bCs/>
        </w:rPr>
        <w:t>Act</w:t>
      </w:r>
      <w:r w:rsidR="00B0651D">
        <w:rPr>
          <w:rFonts w:cstheme="minorHAnsi"/>
        </w:rPr>
        <w:t>”)</w:t>
      </w:r>
      <w:r w:rsidR="00EE5F98">
        <w:rPr>
          <w:rFonts w:cstheme="minorHAnsi"/>
        </w:rPr>
        <w:t xml:space="preserve"> do</w:t>
      </w:r>
      <w:r w:rsidR="00052CFF">
        <w:rPr>
          <w:rFonts w:cstheme="minorHAnsi"/>
        </w:rPr>
        <w:t>es</w:t>
      </w:r>
      <w:r w:rsidR="00EE5F98">
        <w:rPr>
          <w:rFonts w:cstheme="minorHAnsi"/>
        </w:rPr>
        <w:t xml:space="preserve"> not terminate upon the resignation of the auditor</w:t>
      </w:r>
      <w:r w:rsidR="00EE6C6E">
        <w:rPr>
          <w:rFonts w:cstheme="minorHAnsi"/>
        </w:rPr>
        <w:t>,</w:t>
      </w:r>
      <w:r w:rsidR="00EE5F98">
        <w:rPr>
          <w:rFonts w:cstheme="minorHAnsi"/>
        </w:rPr>
        <w:t xml:space="preserve"> and the auditor, if found to have acted in a fraudulent manner</w:t>
      </w:r>
      <w:r w:rsidR="00052CFF">
        <w:rPr>
          <w:rFonts w:cstheme="minorHAnsi"/>
        </w:rPr>
        <w:t>,</w:t>
      </w:r>
      <w:r w:rsidR="00EE5F98">
        <w:rPr>
          <w:rFonts w:cstheme="minorHAnsi"/>
        </w:rPr>
        <w:t xml:space="preserve"> will be subject to penal action</w:t>
      </w:r>
      <w:r w:rsidRPr="004E5DE8">
        <w:rPr>
          <w:rFonts w:cstheme="minorHAnsi"/>
        </w:rPr>
        <w:t>.</w:t>
      </w:r>
    </w:p>
    <w:p w14:paraId="4DBFBB32" w14:textId="77777777" w:rsidR="004E5DE8" w:rsidRPr="004E5DE8" w:rsidRDefault="004E5DE8" w:rsidP="004E5DE8">
      <w:pPr>
        <w:pStyle w:val="MP-Para"/>
        <w:rPr>
          <w:rFonts w:cstheme="minorHAnsi"/>
        </w:rPr>
      </w:pPr>
    </w:p>
    <w:p w14:paraId="4F7D4D5F" w14:textId="77777777" w:rsidR="004E5DE8" w:rsidRPr="00EE5F98" w:rsidRDefault="004E5DE8" w:rsidP="004E5DE8">
      <w:pPr>
        <w:pStyle w:val="MP-Para"/>
        <w:rPr>
          <w:rFonts w:cstheme="minorHAnsi"/>
          <w:b/>
          <w:bCs/>
        </w:rPr>
      </w:pPr>
      <w:r w:rsidRPr="00EE5F98">
        <w:rPr>
          <w:rFonts w:cstheme="minorHAnsi"/>
          <w:b/>
          <w:bCs/>
        </w:rPr>
        <w:t>Background</w:t>
      </w:r>
    </w:p>
    <w:p w14:paraId="150E180C" w14:textId="77777777" w:rsidR="004E5DE8" w:rsidRPr="004E5DE8" w:rsidRDefault="004E5DE8" w:rsidP="004E5DE8">
      <w:pPr>
        <w:pStyle w:val="MP-Para"/>
        <w:rPr>
          <w:rFonts w:cstheme="minorHAnsi"/>
        </w:rPr>
      </w:pPr>
    </w:p>
    <w:p w14:paraId="34290944" w14:textId="3D5CA5A8" w:rsidR="00BF7019" w:rsidRDefault="00EE5F98" w:rsidP="008777BE">
      <w:pPr>
        <w:pStyle w:val="MP-Para"/>
        <w:rPr>
          <w:rFonts w:cstheme="minorHAnsi"/>
        </w:rPr>
      </w:pPr>
      <w:r>
        <w:rPr>
          <w:rFonts w:cstheme="minorHAnsi"/>
        </w:rPr>
        <w:t>Deloitte Haskins</w:t>
      </w:r>
      <w:r w:rsidR="004E5DE8" w:rsidRPr="004E5DE8">
        <w:rPr>
          <w:rFonts w:cstheme="minorHAnsi"/>
        </w:rPr>
        <w:t xml:space="preserve"> </w:t>
      </w:r>
      <w:r w:rsidR="00446970">
        <w:rPr>
          <w:rFonts w:cstheme="minorHAnsi"/>
        </w:rPr>
        <w:t xml:space="preserve">and Sells LLP </w:t>
      </w:r>
      <w:r w:rsidR="004E5DE8" w:rsidRPr="004E5DE8">
        <w:rPr>
          <w:rFonts w:cstheme="minorHAnsi"/>
        </w:rPr>
        <w:t>(“</w:t>
      </w:r>
      <w:r w:rsidR="00446970" w:rsidRPr="00446970">
        <w:rPr>
          <w:rFonts w:cstheme="minorHAnsi"/>
          <w:b/>
          <w:bCs/>
        </w:rPr>
        <w:t>Deloitte</w:t>
      </w:r>
      <w:r w:rsidR="004E5DE8" w:rsidRPr="004E5DE8">
        <w:rPr>
          <w:rFonts w:cstheme="minorHAnsi"/>
        </w:rPr>
        <w:t xml:space="preserve">”) </w:t>
      </w:r>
      <w:r w:rsidR="00446970">
        <w:rPr>
          <w:rFonts w:cstheme="minorHAnsi"/>
        </w:rPr>
        <w:t>and BSR &amp; Associates LLP (“</w:t>
      </w:r>
      <w:r w:rsidR="00446970" w:rsidRPr="00446970">
        <w:rPr>
          <w:rFonts w:cstheme="minorHAnsi"/>
          <w:b/>
          <w:bCs/>
        </w:rPr>
        <w:t>BSR</w:t>
      </w:r>
      <w:r w:rsidR="00446970">
        <w:rPr>
          <w:rFonts w:cstheme="minorHAnsi"/>
        </w:rPr>
        <w:t xml:space="preserve">”) served as the statutory auditors of </w:t>
      </w:r>
      <w:r w:rsidR="008777BE" w:rsidRPr="008777BE">
        <w:rPr>
          <w:rFonts w:cstheme="minorHAnsi"/>
        </w:rPr>
        <w:t>IL&amp;FS Financial Services</w:t>
      </w:r>
      <w:r w:rsidR="008777BE">
        <w:rPr>
          <w:rFonts w:cstheme="minorHAnsi"/>
        </w:rPr>
        <w:t xml:space="preserve"> </w:t>
      </w:r>
      <w:r w:rsidR="008777BE" w:rsidRPr="008777BE">
        <w:rPr>
          <w:rFonts w:cstheme="minorHAnsi"/>
        </w:rPr>
        <w:t>Limited</w:t>
      </w:r>
      <w:r w:rsidR="008777BE">
        <w:rPr>
          <w:rFonts w:cstheme="minorHAnsi"/>
        </w:rPr>
        <w:t xml:space="preserve"> (“</w:t>
      </w:r>
      <w:r w:rsidR="008777BE" w:rsidRPr="00B0651D">
        <w:rPr>
          <w:rFonts w:cstheme="minorHAnsi"/>
          <w:b/>
          <w:bCs/>
        </w:rPr>
        <w:t>IFIN</w:t>
      </w:r>
      <w:r w:rsidR="008777BE">
        <w:rPr>
          <w:rFonts w:cstheme="minorHAnsi"/>
        </w:rPr>
        <w:t xml:space="preserve">”).  Deloitte was the statutory auditor of IFIN from 2008 to 2018, and BSR was appointed as the joint statutory auditor in 2017. </w:t>
      </w:r>
      <w:r w:rsidR="00EE6C6E">
        <w:rPr>
          <w:rFonts w:cstheme="minorHAnsi"/>
        </w:rPr>
        <w:t xml:space="preserve"> </w:t>
      </w:r>
      <w:r w:rsidR="0045317D">
        <w:rPr>
          <w:rFonts w:cstheme="minorHAnsi"/>
        </w:rPr>
        <w:t xml:space="preserve">Between June and September 2018, </w:t>
      </w:r>
      <w:r w:rsidR="00052CFF">
        <w:rPr>
          <w:rFonts w:cstheme="minorHAnsi"/>
        </w:rPr>
        <w:t>IFIN and its g</w:t>
      </w:r>
      <w:r w:rsidR="0045317D">
        <w:rPr>
          <w:rFonts w:cstheme="minorHAnsi"/>
        </w:rPr>
        <w:t xml:space="preserve">roup </w:t>
      </w:r>
      <w:r w:rsidR="00052CFF">
        <w:rPr>
          <w:rFonts w:cstheme="minorHAnsi"/>
        </w:rPr>
        <w:t>c</w:t>
      </w:r>
      <w:r w:rsidR="0045317D">
        <w:rPr>
          <w:rFonts w:cstheme="minorHAnsi"/>
        </w:rPr>
        <w:t xml:space="preserve">ompanies defaulted on debt repayments aggregating to </w:t>
      </w:r>
      <w:r w:rsidR="00EE6C6E">
        <w:rPr>
          <w:rFonts w:cstheme="minorHAnsi"/>
        </w:rPr>
        <w:t xml:space="preserve">a </w:t>
      </w:r>
      <w:r w:rsidR="0045317D">
        <w:rPr>
          <w:rFonts w:cstheme="minorHAnsi"/>
        </w:rPr>
        <w:t xml:space="preserve">sum </w:t>
      </w:r>
      <w:proofErr w:type="gramStart"/>
      <w:r w:rsidR="0045317D">
        <w:rPr>
          <w:rFonts w:cstheme="minorHAnsi"/>
        </w:rPr>
        <w:t>in excess of</w:t>
      </w:r>
      <w:proofErr w:type="gramEnd"/>
      <w:r w:rsidR="0045317D">
        <w:rPr>
          <w:rFonts w:cstheme="minorHAnsi"/>
        </w:rPr>
        <w:t xml:space="preserve"> </w:t>
      </w:r>
      <w:r w:rsidR="00EE6C6E">
        <w:rPr>
          <w:rFonts w:cstheme="minorHAnsi"/>
        </w:rPr>
        <w:t>INR</w:t>
      </w:r>
      <w:r w:rsidR="0045317D">
        <w:rPr>
          <w:rFonts w:cstheme="minorHAnsi"/>
        </w:rPr>
        <w:t xml:space="preserve"> 900 </w:t>
      </w:r>
      <w:r w:rsidR="00EE6C6E">
        <w:rPr>
          <w:rFonts w:cstheme="minorHAnsi"/>
        </w:rPr>
        <w:t>billion</w:t>
      </w:r>
      <w:r w:rsidR="0045317D">
        <w:rPr>
          <w:rFonts w:cstheme="minorHAnsi"/>
        </w:rPr>
        <w:t xml:space="preserve">. </w:t>
      </w:r>
      <w:r w:rsidR="00AC3BEC">
        <w:rPr>
          <w:rFonts w:cstheme="minorHAnsi"/>
        </w:rPr>
        <w:t xml:space="preserve"> </w:t>
      </w:r>
      <w:r w:rsidR="0045317D">
        <w:rPr>
          <w:rFonts w:cstheme="minorHAnsi"/>
        </w:rPr>
        <w:t>This debt contagion was caused</w:t>
      </w:r>
      <w:r w:rsidR="00052CFF">
        <w:rPr>
          <w:rFonts w:cstheme="minorHAnsi"/>
        </w:rPr>
        <w:t>,</w:t>
      </w:r>
      <w:r w:rsidR="0045317D">
        <w:rPr>
          <w:rFonts w:cstheme="minorHAnsi"/>
        </w:rPr>
        <w:t xml:space="preserve"> </w:t>
      </w:r>
      <w:r w:rsidR="0045317D">
        <w:rPr>
          <w:rFonts w:cstheme="minorHAnsi"/>
          <w:i/>
          <w:iCs/>
        </w:rPr>
        <w:t>inter alia</w:t>
      </w:r>
      <w:r w:rsidR="0045317D">
        <w:rPr>
          <w:rFonts w:cstheme="minorHAnsi"/>
        </w:rPr>
        <w:t>, by corporate governance failures</w:t>
      </w:r>
      <w:r w:rsidR="00052CFF">
        <w:rPr>
          <w:rFonts w:cstheme="minorHAnsi"/>
        </w:rPr>
        <w:t>,</w:t>
      </w:r>
      <w:r w:rsidR="0045317D">
        <w:rPr>
          <w:rFonts w:cstheme="minorHAnsi"/>
        </w:rPr>
        <w:t xml:space="preserve"> as well as a window dressing of accounts.</w:t>
      </w:r>
      <w:r w:rsidR="00BF7019">
        <w:rPr>
          <w:rFonts w:cstheme="minorHAnsi"/>
        </w:rPr>
        <w:t xml:space="preserve"> </w:t>
      </w:r>
      <w:r w:rsidR="00052CFF">
        <w:rPr>
          <w:rFonts w:cstheme="minorHAnsi"/>
        </w:rPr>
        <w:t xml:space="preserve"> </w:t>
      </w:r>
      <w:r w:rsidR="0045317D">
        <w:rPr>
          <w:rFonts w:cstheme="minorHAnsi"/>
        </w:rPr>
        <w:t xml:space="preserve">Both Deloitte and BSR had jointly conducted </w:t>
      </w:r>
      <w:r w:rsidR="00052CFF">
        <w:rPr>
          <w:rFonts w:cstheme="minorHAnsi"/>
        </w:rPr>
        <w:t>IFIN’s</w:t>
      </w:r>
      <w:r w:rsidR="0045317D">
        <w:rPr>
          <w:rFonts w:cstheme="minorHAnsi"/>
        </w:rPr>
        <w:t xml:space="preserve"> statutory audit for financial year 2017-18. </w:t>
      </w:r>
    </w:p>
    <w:p w14:paraId="3439A555" w14:textId="77777777" w:rsidR="00BF7019" w:rsidRDefault="00BF7019" w:rsidP="008777BE">
      <w:pPr>
        <w:pStyle w:val="MP-Para"/>
        <w:rPr>
          <w:rFonts w:cstheme="minorHAnsi"/>
        </w:rPr>
      </w:pPr>
    </w:p>
    <w:p w14:paraId="62A1B4F4" w14:textId="634674C7" w:rsidR="0045317D" w:rsidRPr="0045317D" w:rsidRDefault="00B0651D" w:rsidP="008777BE">
      <w:pPr>
        <w:pStyle w:val="MP-Para"/>
        <w:rPr>
          <w:rFonts w:cstheme="minorHAnsi"/>
        </w:rPr>
      </w:pPr>
      <w:r>
        <w:rPr>
          <w:rFonts w:cstheme="minorHAnsi"/>
        </w:rPr>
        <w:t>Section 140(5) of the Act provides that the National Company Law Tribunal (</w:t>
      </w:r>
      <w:r w:rsidR="00BF7019">
        <w:rPr>
          <w:rFonts w:cstheme="minorHAnsi"/>
        </w:rPr>
        <w:t xml:space="preserve">the </w:t>
      </w:r>
      <w:r>
        <w:rPr>
          <w:rFonts w:cstheme="minorHAnsi"/>
        </w:rPr>
        <w:t>“</w:t>
      </w:r>
      <w:r w:rsidR="00471540">
        <w:rPr>
          <w:rFonts w:cstheme="minorHAnsi"/>
          <w:b/>
          <w:bCs/>
        </w:rPr>
        <w:t>NCLT</w:t>
      </w:r>
      <w:r>
        <w:rPr>
          <w:rFonts w:cstheme="minorHAnsi"/>
        </w:rPr>
        <w:t>”) may</w:t>
      </w:r>
      <w:r w:rsidRPr="00B0651D">
        <w:rPr>
          <w:rFonts w:cstheme="minorHAnsi"/>
        </w:rPr>
        <w:t>,</w:t>
      </w:r>
      <w:r w:rsidR="002E5DE0">
        <w:rPr>
          <w:rFonts w:cstheme="minorHAnsi"/>
        </w:rPr>
        <w:t xml:space="preserve"> </w:t>
      </w:r>
      <w:r w:rsidR="002E5DE0" w:rsidRPr="002E5DE0">
        <w:rPr>
          <w:rFonts w:cstheme="minorHAnsi"/>
        </w:rPr>
        <w:t xml:space="preserve">either </w:t>
      </w:r>
      <w:proofErr w:type="spellStart"/>
      <w:r w:rsidR="002E5DE0" w:rsidRPr="002E5DE0">
        <w:rPr>
          <w:rFonts w:cstheme="minorHAnsi"/>
          <w:i/>
          <w:iCs/>
        </w:rPr>
        <w:t>suo</w:t>
      </w:r>
      <w:proofErr w:type="spellEnd"/>
      <w:r w:rsidR="002E5DE0" w:rsidRPr="002E5DE0">
        <w:rPr>
          <w:rFonts w:cstheme="minorHAnsi"/>
          <w:i/>
          <w:iCs/>
        </w:rPr>
        <w:t xml:space="preserve"> </w:t>
      </w:r>
      <w:r w:rsidR="002E5DE0" w:rsidRPr="00317735">
        <w:rPr>
          <w:rFonts w:cstheme="minorHAnsi"/>
          <w:i/>
          <w:iCs/>
        </w:rPr>
        <w:t>motu</w:t>
      </w:r>
      <w:r w:rsidR="00317735">
        <w:rPr>
          <w:rFonts w:cstheme="minorHAnsi"/>
        </w:rPr>
        <w:t>,</w:t>
      </w:r>
      <w:r w:rsidR="002E5DE0" w:rsidRPr="002E5DE0">
        <w:rPr>
          <w:rFonts w:cstheme="minorHAnsi"/>
        </w:rPr>
        <w:t xml:space="preserve"> or on an application made to it by the Central Government or any person concerned</w:t>
      </w:r>
      <w:r w:rsidR="002E5DE0">
        <w:rPr>
          <w:rFonts w:cstheme="minorHAnsi"/>
        </w:rPr>
        <w:t>,</w:t>
      </w:r>
      <w:r w:rsidRPr="00B0651D">
        <w:rPr>
          <w:rFonts w:cstheme="minorHAnsi"/>
        </w:rPr>
        <w:t xml:space="preserve"> if it is satisfied that the auditor of a company has</w:t>
      </w:r>
      <w:r>
        <w:rPr>
          <w:rFonts w:cstheme="minorHAnsi"/>
        </w:rPr>
        <w:t xml:space="preserve"> </w:t>
      </w:r>
      <w:r w:rsidRPr="00B0651D">
        <w:rPr>
          <w:rFonts w:cstheme="minorHAnsi"/>
        </w:rPr>
        <w:t xml:space="preserve">acted in a fraudulent manner or abetted or colluded in any fraud by, or in relation to, the company or </w:t>
      </w:r>
      <w:r w:rsidR="00766EF0" w:rsidRPr="00B0651D">
        <w:rPr>
          <w:rFonts w:cstheme="minorHAnsi"/>
        </w:rPr>
        <w:t>its directors</w:t>
      </w:r>
      <w:r w:rsidRPr="00B0651D">
        <w:rPr>
          <w:rFonts w:cstheme="minorHAnsi"/>
        </w:rPr>
        <w:t xml:space="preserve"> or officers, direct the company to change its auditors</w:t>
      </w:r>
      <w:r>
        <w:rPr>
          <w:rFonts w:cstheme="minorHAnsi"/>
        </w:rPr>
        <w:t xml:space="preserve">. </w:t>
      </w:r>
      <w:r w:rsidR="00317735">
        <w:rPr>
          <w:rFonts w:cstheme="minorHAnsi"/>
        </w:rPr>
        <w:t xml:space="preserve"> </w:t>
      </w:r>
      <w:r w:rsidR="00FD5617">
        <w:rPr>
          <w:rFonts w:cstheme="minorHAnsi"/>
        </w:rPr>
        <w:t xml:space="preserve">In this situation, </w:t>
      </w:r>
      <w:r w:rsidR="002E5DE0">
        <w:t>if the NCLT is satisfied that any change of the auditor is required,</w:t>
      </w:r>
      <w:r w:rsidR="00471540">
        <w:rPr>
          <w:rFonts w:cstheme="minorHAnsi"/>
        </w:rPr>
        <w:t xml:space="preserve"> </w:t>
      </w:r>
      <w:r w:rsidR="00317735">
        <w:rPr>
          <w:rFonts w:cstheme="minorHAnsi"/>
        </w:rPr>
        <w:t xml:space="preserve">it can </w:t>
      </w:r>
      <w:r w:rsidR="00BF7019">
        <w:rPr>
          <w:rFonts w:cstheme="minorHAnsi"/>
        </w:rPr>
        <w:t xml:space="preserve">pass an order </w:t>
      </w:r>
      <w:r w:rsidR="002E5DE0">
        <w:rPr>
          <w:rFonts w:cstheme="minorHAnsi"/>
        </w:rPr>
        <w:t>removing the auditor</w:t>
      </w:r>
      <w:r w:rsidR="00FD5617">
        <w:rPr>
          <w:rFonts w:cstheme="minorHAnsi"/>
        </w:rPr>
        <w:t>,</w:t>
      </w:r>
      <w:r w:rsidR="002E5DE0">
        <w:rPr>
          <w:rFonts w:cstheme="minorHAnsi"/>
        </w:rPr>
        <w:t xml:space="preserve"> and the Central Government can </w:t>
      </w:r>
      <w:r w:rsidR="00BF7019">
        <w:rPr>
          <w:rFonts w:cstheme="minorHAnsi"/>
        </w:rPr>
        <w:t>appoint a</w:t>
      </w:r>
      <w:r w:rsidR="002E5DE0">
        <w:rPr>
          <w:rFonts w:cstheme="minorHAnsi"/>
        </w:rPr>
        <w:t xml:space="preserve"> new</w:t>
      </w:r>
      <w:r w:rsidR="00BF7019">
        <w:rPr>
          <w:rFonts w:cstheme="minorHAnsi"/>
        </w:rPr>
        <w:t xml:space="preserve"> auditor</w:t>
      </w:r>
      <w:r w:rsidR="002E5DE0">
        <w:rPr>
          <w:rFonts w:cstheme="minorHAnsi"/>
        </w:rPr>
        <w:t>.  T</w:t>
      </w:r>
      <w:r w:rsidR="00BF7019">
        <w:rPr>
          <w:rFonts w:cstheme="minorHAnsi"/>
        </w:rPr>
        <w:t xml:space="preserve">he second proviso to this section provides that an auditor against whom a final order has been passed by the </w:t>
      </w:r>
      <w:r w:rsidR="00471540">
        <w:rPr>
          <w:rFonts w:cstheme="minorHAnsi"/>
        </w:rPr>
        <w:t>NCLT</w:t>
      </w:r>
      <w:r w:rsidR="00BF7019">
        <w:rPr>
          <w:rFonts w:cstheme="minorHAnsi"/>
        </w:rPr>
        <w:t xml:space="preserve"> will be ineligible to be appointed as </w:t>
      </w:r>
      <w:r w:rsidR="00317735">
        <w:rPr>
          <w:rFonts w:cstheme="minorHAnsi"/>
        </w:rPr>
        <w:t>an</w:t>
      </w:r>
      <w:r w:rsidR="00BF7019" w:rsidRPr="00BF7019">
        <w:rPr>
          <w:rFonts w:cstheme="minorHAnsi"/>
        </w:rPr>
        <w:t xml:space="preserve"> auditor of any company for a period of five</w:t>
      </w:r>
      <w:r w:rsidR="00BF7019">
        <w:rPr>
          <w:rFonts w:cstheme="minorHAnsi"/>
        </w:rPr>
        <w:t xml:space="preserve"> (5)</w:t>
      </w:r>
      <w:r w:rsidR="00BF7019" w:rsidRPr="00BF7019">
        <w:rPr>
          <w:rFonts w:cstheme="minorHAnsi"/>
        </w:rPr>
        <w:t xml:space="preserve"> years </w:t>
      </w:r>
      <w:r w:rsidR="00BF7019">
        <w:rPr>
          <w:rFonts w:cstheme="minorHAnsi"/>
        </w:rPr>
        <w:t>and</w:t>
      </w:r>
      <w:r w:rsidR="00BF7019" w:rsidRPr="00BF7019">
        <w:rPr>
          <w:rFonts w:cstheme="minorHAnsi"/>
        </w:rPr>
        <w:t xml:space="preserve"> </w:t>
      </w:r>
      <w:r w:rsidR="00317735">
        <w:rPr>
          <w:rFonts w:cstheme="minorHAnsi"/>
        </w:rPr>
        <w:t xml:space="preserve">will </w:t>
      </w:r>
      <w:r w:rsidR="00BF7019" w:rsidRPr="00BF7019">
        <w:rPr>
          <w:rFonts w:cstheme="minorHAnsi"/>
        </w:rPr>
        <w:t xml:space="preserve">also be liable for action under </w:t>
      </w:r>
      <w:r w:rsidR="00BF7019">
        <w:rPr>
          <w:rFonts w:cstheme="minorHAnsi"/>
        </w:rPr>
        <w:t>S</w:t>
      </w:r>
      <w:r w:rsidR="00BF7019" w:rsidRPr="00BF7019">
        <w:rPr>
          <w:rFonts w:cstheme="minorHAnsi"/>
        </w:rPr>
        <w:t>ection 447</w:t>
      </w:r>
      <w:r w:rsidR="00BF7019">
        <w:rPr>
          <w:rFonts w:cstheme="minorHAnsi"/>
        </w:rPr>
        <w:t xml:space="preserve"> of the Act</w:t>
      </w:r>
      <w:r w:rsidR="00312BBF">
        <w:rPr>
          <w:rFonts w:cstheme="minorHAnsi"/>
        </w:rPr>
        <w:t xml:space="preserve"> (which pertains to punishment for fraud)</w:t>
      </w:r>
      <w:r w:rsidR="00BF7019" w:rsidRPr="00BF7019">
        <w:rPr>
          <w:rFonts w:cstheme="minorHAnsi"/>
        </w:rPr>
        <w:t>.</w:t>
      </w:r>
      <w:r w:rsidR="00BF7019">
        <w:rPr>
          <w:rFonts w:cstheme="minorHAnsi"/>
        </w:rPr>
        <w:t xml:space="preserve"> </w:t>
      </w:r>
    </w:p>
    <w:p w14:paraId="0EDCBB97" w14:textId="77777777" w:rsidR="00446970" w:rsidRDefault="00446970" w:rsidP="004E5DE8">
      <w:pPr>
        <w:pStyle w:val="MP-Para"/>
        <w:rPr>
          <w:rFonts w:cstheme="minorHAnsi"/>
        </w:rPr>
      </w:pPr>
    </w:p>
    <w:p w14:paraId="19342FE2" w14:textId="38DEBA90" w:rsidR="004E5DE8" w:rsidRPr="004E5DE8" w:rsidRDefault="00766EF0" w:rsidP="004E5DE8">
      <w:pPr>
        <w:pStyle w:val="MP-Para"/>
        <w:rPr>
          <w:rFonts w:cstheme="minorHAnsi"/>
        </w:rPr>
      </w:pPr>
      <w:r>
        <w:rPr>
          <w:rFonts w:cstheme="minorHAnsi"/>
        </w:rPr>
        <w:t>In June 2019, the Serious Fraud Investigation Office (“</w:t>
      </w:r>
      <w:r w:rsidRPr="00766EF0">
        <w:rPr>
          <w:rFonts w:cstheme="minorHAnsi"/>
          <w:b/>
          <w:bCs/>
        </w:rPr>
        <w:t>SFIO</w:t>
      </w:r>
      <w:r>
        <w:rPr>
          <w:rFonts w:cstheme="minorHAnsi"/>
        </w:rPr>
        <w:t xml:space="preserve">”) investigated IFIN and prepared a report, </w:t>
      </w:r>
      <w:proofErr w:type="gramStart"/>
      <w:r>
        <w:rPr>
          <w:rFonts w:cstheme="minorHAnsi"/>
        </w:rPr>
        <w:t>on the basis of</w:t>
      </w:r>
      <w:proofErr w:type="gramEnd"/>
      <w:r>
        <w:rPr>
          <w:rFonts w:cstheme="minorHAnsi"/>
        </w:rPr>
        <w:t xml:space="preserve"> which proceedings were initiated against Deloitte and BSR</w:t>
      </w:r>
      <w:r w:rsidR="00FD5617">
        <w:rPr>
          <w:rFonts w:cstheme="minorHAnsi"/>
        </w:rPr>
        <w:t>, among others,</w:t>
      </w:r>
      <w:r>
        <w:rPr>
          <w:rFonts w:cstheme="minorHAnsi"/>
        </w:rPr>
        <w:t xml:space="preserve"> under Section 140(5) of the Act.  BSR issued a letter of resignation and contended that Section 140(5) w</w:t>
      </w:r>
      <w:r w:rsidR="00FD5617">
        <w:rPr>
          <w:rFonts w:cstheme="minorHAnsi"/>
        </w:rPr>
        <w:t>as</w:t>
      </w:r>
      <w:r>
        <w:rPr>
          <w:rFonts w:cstheme="minorHAnsi"/>
        </w:rPr>
        <w:t xml:space="preserve"> inapplicable to them, as they were no longer the auditors of IFIN. </w:t>
      </w:r>
      <w:r w:rsidR="00FD5617">
        <w:rPr>
          <w:rFonts w:cstheme="minorHAnsi"/>
        </w:rPr>
        <w:t xml:space="preserve"> </w:t>
      </w:r>
      <w:r>
        <w:rPr>
          <w:rFonts w:cstheme="minorHAnsi"/>
        </w:rPr>
        <w:t xml:space="preserve">Similar contentions were made by Deloitte on the grounds </w:t>
      </w:r>
      <w:r w:rsidR="00FD5617">
        <w:rPr>
          <w:rFonts w:cstheme="minorHAnsi"/>
        </w:rPr>
        <w:t>that they had</w:t>
      </w:r>
      <w:r>
        <w:rPr>
          <w:rFonts w:cstheme="minorHAnsi"/>
        </w:rPr>
        <w:t xml:space="preserve"> resigned as the statutory auditors of IFIN in 2018. </w:t>
      </w:r>
      <w:r w:rsidR="00910F44">
        <w:rPr>
          <w:rFonts w:cstheme="minorHAnsi"/>
        </w:rPr>
        <w:t xml:space="preserve"> The </w:t>
      </w:r>
      <w:r w:rsidR="00471540">
        <w:rPr>
          <w:rFonts w:cstheme="minorHAnsi"/>
        </w:rPr>
        <w:t>NCLT</w:t>
      </w:r>
      <w:r w:rsidR="00910F44">
        <w:rPr>
          <w:rFonts w:cstheme="minorHAnsi"/>
        </w:rPr>
        <w:t xml:space="preserve">, however, upheld the maintainability of the petitions. </w:t>
      </w:r>
      <w:r w:rsidR="00FD5617">
        <w:rPr>
          <w:rFonts w:cstheme="minorHAnsi"/>
        </w:rPr>
        <w:t xml:space="preserve"> </w:t>
      </w:r>
      <w:r w:rsidR="00910F44">
        <w:rPr>
          <w:rFonts w:cstheme="minorHAnsi"/>
        </w:rPr>
        <w:t xml:space="preserve">This was challenged before the </w:t>
      </w:r>
      <w:r w:rsidR="00FD5617">
        <w:rPr>
          <w:rFonts w:cstheme="minorHAnsi"/>
        </w:rPr>
        <w:t xml:space="preserve">Bombay </w:t>
      </w:r>
      <w:r w:rsidR="00910F44">
        <w:rPr>
          <w:rFonts w:cstheme="minorHAnsi"/>
        </w:rPr>
        <w:t>High Court</w:t>
      </w:r>
      <w:r w:rsidR="00FD5617">
        <w:rPr>
          <w:rFonts w:cstheme="minorHAnsi"/>
        </w:rPr>
        <w:t xml:space="preserve"> (“</w:t>
      </w:r>
      <w:r w:rsidR="00FD5617" w:rsidRPr="00FD5617">
        <w:rPr>
          <w:rFonts w:cstheme="minorHAnsi"/>
          <w:b/>
          <w:bCs/>
        </w:rPr>
        <w:t>BHC</w:t>
      </w:r>
      <w:r w:rsidR="00FD5617">
        <w:rPr>
          <w:rFonts w:cstheme="minorHAnsi"/>
        </w:rPr>
        <w:t>”).  The BHC</w:t>
      </w:r>
      <w:r w:rsidR="00910F44">
        <w:rPr>
          <w:rFonts w:cstheme="minorHAnsi"/>
        </w:rPr>
        <w:t xml:space="preserve"> </w:t>
      </w:r>
      <w:r w:rsidR="00906A05">
        <w:rPr>
          <w:rFonts w:cstheme="minorHAnsi"/>
        </w:rPr>
        <w:t>upheld the validity of Section 140(5)</w:t>
      </w:r>
      <w:r w:rsidR="00DA3ED1">
        <w:rPr>
          <w:rFonts w:cstheme="minorHAnsi"/>
        </w:rPr>
        <w:t xml:space="preserve"> of the Act</w:t>
      </w:r>
      <w:r w:rsidR="00353AE8">
        <w:rPr>
          <w:rFonts w:cstheme="minorHAnsi"/>
        </w:rPr>
        <w:t xml:space="preserve"> but quashed the proceedings against Deloitte and BSR.</w:t>
      </w:r>
      <w:r w:rsidR="00906A05">
        <w:rPr>
          <w:rFonts w:cstheme="minorHAnsi"/>
        </w:rPr>
        <w:t xml:space="preserve"> </w:t>
      </w:r>
      <w:r w:rsidR="00FD5617">
        <w:rPr>
          <w:rFonts w:cstheme="minorHAnsi"/>
        </w:rPr>
        <w:t xml:space="preserve"> </w:t>
      </w:r>
      <w:r w:rsidR="004E5DE8" w:rsidRPr="004E5DE8">
        <w:rPr>
          <w:rFonts w:cstheme="minorHAnsi"/>
        </w:rPr>
        <w:t xml:space="preserve">The </w:t>
      </w:r>
      <w:r w:rsidR="00353AE8">
        <w:rPr>
          <w:rFonts w:cstheme="minorHAnsi"/>
        </w:rPr>
        <w:t>Union of India</w:t>
      </w:r>
      <w:r w:rsidR="004E5DE8" w:rsidRPr="004E5DE8">
        <w:rPr>
          <w:rFonts w:cstheme="minorHAnsi"/>
        </w:rPr>
        <w:t xml:space="preserve"> appeal</w:t>
      </w:r>
      <w:r w:rsidR="00353AE8">
        <w:rPr>
          <w:rFonts w:cstheme="minorHAnsi"/>
        </w:rPr>
        <w:t>ed</w:t>
      </w:r>
      <w:r w:rsidR="004E5DE8" w:rsidRPr="004E5DE8">
        <w:rPr>
          <w:rFonts w:cstheme="minorHAnsi"/>
        </w:rPr>
        <w:t xml:space="preserve"> the </w:t>
      </w:r>
      <w:r w:rsidR="00FD5617">
        <w:rPr>
          <w:rFonts w:cstheme="minorHAnsi"/>
        </w:rPr>
        <w:t>BHC</w:t>
      </w:r>
      <w:r w:rsidR="00DA3ED1">
        <w:rPr>
          <w:rFonts w:cstheme="minorHAnsi"/>
        </w:rPr>
        <w:t xml:space="preserve"> </w:t>
      </w:r>
      <w:r w:rsidR="00FD5617">
        <w:rPr>
          <w:rFonts w:cstheme="minorHAnsi"/>
        </w:rPr>
        <w:t xml:space="preserve">decision to </w:t>
      </w:r>
      <w:r w:rsidR="00FD5617">
        <w:rPr>
          <w:rFonts w:cstheme="minorHAnsi"/>
        </w:rPr>
        <w:t>the</w:t>
      </w:r>
      <w:r w:rsidR="00FD5617">
        <w:rPr>
          <w:rFonts w:cstheme="minorHAnsi"/>
        </w:rPr>
        <w:t xml:space="preserve"> Supreme Court</w:t>
      </w:r>
      <w:r w:rsidR="004E5DE8" w:rsidRPr="004E5DE8">
        <w:rPr>
          <w:rFonts w:cstheme="minorHAnsi"/>
        </w:rPr>
        <w:t>.</w:t>
      </w:r>
    </w:p>
    <w:p w14:paraId="021DA3FB" w14:textId="77777777" w:rsidR="004E5DE8" w:rsidRPr="004E5DE8" w:rsidRDefault="004E5DE8" w:rsidP="004E5DE8">
      <w:pPr>
        <w:pStyle w:val="MP-Para"/>
        <w:rPr>
          <w:rFonts w:cstheme="minorHAnsi"/>
        </w:rPr>
      </w:pPr>
    </w:p>
    <w:p w14:paraId="46289479" w14:textId="78465B0B" w:rsidR="004E5DE8" w:rsidRPr="00F01D4C" w:rsidRDefault="004E5DE8" w:rsidP="004E5DE8">
      <w:pPr>
        <w:pStyle w:val="MP-Para"/>
        <w:rPr>
          <w:rFonts w:cstheme="minorHAnsi"/>
          <w:b/>
          <w:bCs/>
        </w:rPr>
      </w:pPr>
      <w:r w:rsidRPr="00F01D4C">
        <w:rPr>
          <w:rFonts w:cstheme="minorHAnsi"/>
          <w:b/>
          <w:bCs/>
        </w:rPr>
        <w:t xml:space="preserve">Decision of the </w:t>
      </w:r>
      <w:r w:rsidR="00471540">
        <w:rPr>
          <w:rFonts w:cstheme="minorHAnsi"/>
          <w:b/>
          <w:bCs/>
        </w:rPr>
        <w:t>Supreme Court</w:t>
      </w:r>
    </w:p>
    <w:p w14:paraId="1DD4B9F5" w14:textId="77777777" w:rsidR="004E5DE8" w:rsidRPr="004E5DE8" w:rsidRDefault="004E5DE8" w:rsidP="004E5DE8">
      <w:pPr>
        <w:pStyle w:val="MP-Para"/>
        <w:rPr>
          <w:rFonts w:cstheme="minorHAnsi"/>
        </w:rPr>
      </w:pPr>
    </w:p>
    <w:p w14:paraId="0380E735" w14:textId="6EF67396" w:rsidR="004E5DE8" w:rsidRDefault="00670E78" w:rsidP="004E5DE8">
      <w:pPr>
        <w:pStyle w:val="MP-Para"/>
        <w:rPr>
          <w:rFonts w:cstheme="minorHAnsi"/>
        </w:rPr>
      </w:pPr>
      <w:r>
        <w:rPr>
          <w:rFonts w:cstheme="minorHAnsi"/>
        </w:rPr>
        <w:lastRenderedPageBreak/>
        <w:t>T</w:t>
      </w:r>
      <w:r w:rsidR="004E5DE8" w:rsidRPr="004E5DE8">
        <w:rPr>
          <w:rFonts w:cstheme="minorHAnsi"/>
        </w:rPr>
        <w:t xml:space="preserve">he </w:t>
      </w:r>
      <w:r w:rsidR="006247FF">
        <w:rPr>
          <w:rFonts w:cstheme="minorHAnsi"/>
        </w:rPr>
        <w:t>Supreme Court</w:t>
      </w:r>
      <w:r w:rsidR="004E5DE8" w:rsidRPr="004E5DE8">
        <w:rPr>
          <w:rFonts w:cstheme="minorHAnsi"/>
        </w:rPr>
        <w:t xml:space="preserve"> held that</w:t>
      </w:r>
      <w:r>
        <w:rPr>
          <w:rFonts w:cstheme="minorHAnsi"/>
        </w:rPr>
        <w:t xml:space="preserve"> t</w:t>
      </w:r>
      <w:r w:rsidR="006247FF">
        <w:rPr>
          <w:rFonts w:cstheme="minorHAnsi"/>
        </w:rPr>
        <w:t xml:space="preserve">he subsequent resignation of an auditor </w:t>
      </w:r>
      <w:r w:rsidR="00FD5617">
        <w:rPr>
          <w:rFonts w:cstheme="minorHAnsi"/>
        </w:rPr>
        <w:t>does</w:t>
      </w:r>
      <w:r w:rsidR="006247FF">
        <w:rPr>
          <w:rFonts w:cstheme="minorHAnsi"/>
        </w:rPr>
        <w:t xml:space="preserve"> not by itself lead to the termination of proceedings under </w:t>
      </w:r>
      <w:r w:rsidR="004E5DE8" w:rsidRPr="004E5DE8">
        <w:rPr>
          <w:rFonts w:cstheme="minorHAnsi"/>
        </w:rPr>
        <w:t xml:space="preserve">Section </w:t>
      </w:r>
      <w:r w:rsidR="006247FF">
        <w:rPr>
          <w:rFonts w:cstheme="minorHAnsi"/>
        </w:rPr>
        <w:t>140(5) of the Act.</w:t>
      </w:r>
      <w:r w:rsidR="00471540">
        <w:rPr>
          <w:rFonts w:cstheme="minorHAnsi"/>
        </w:rPr>
        <w:t xml:space="preserve"> </w:t>
      </w:r>
      <w:r w:rsidR="006247FF">
        <w:rPr>
          <w:rFonts w:cstheme="minorHAnsi"/>
        </w:rPr>
        <w:t xml:space="preserve"> </w:t>
      </w:r>
      <w:r w:rsidR="005B1E20">
        <w:rPr>
          <w:rFonts w:cstheme="minorHAnsi"/>
        </w:rPr>
        <w:t xml:space="preserve">As the second proviso to Section 140(5) </w:t>
      </w:r>
      <w:r w:rsidR="00FD5617">
        <w:rPr>
          <w:rFonts w:cstheme="minorHAnsi"/>
        </w:rPr>
        <w:t>lists out</w:t>
      </w:r>
      <w:r w:rsidR="005B1E20">
        <w:rPr>
          <w:rFonts w:cstheme="minorHAnsi"/>
        </w:rPr>
        <w:t xml:space="preserve"> further consequences upon the culmination of an enquiry when an auditor has acted in a fraudulent manner, the enquiry/</w:t>
      </w:r>
      <w:r w:rsidR="00FD5617">
        <w:rPr>
          <w:rFonts w:cstheme="minorHAnsi"/>
        </w:rPr>
        <w:t xml:space="preserve"> </w:t>
      </w:r>
      <w:r w:rsidR="005B1E20">
        <w:rPr>
          <w:rFonts w:cstheme="minorHAnsi"/>
        </w:rPr>
        <w:t xml:space="preserve">proceedings must be </w:t>
      </w:r>
      <w:r>
        <w:rPr>
          <w:rFonts w:cstheme="minorHAnsi"/>
        </w:rPr>
        <w:t>completed</w:t>
      </w:r>
      <w:r w:rsidR="005B1E20">
        <w:rPr>
          <w:rFonts w:cstheme="minorHAnsi"/>
        </w:rPr>
        <w:t xml:space="preserve">. </w:t>
      </w:r>
      <w:r>
        <w:rPr>
          <w:rFonts w:cstheme="minorHAnsi"/>
        </w:rPr>
        <w:t xml:space="preserve"> </w:t>
      </w:r>
      <w:r w:rsidR="005B1E20">
        <w:rPr>
          <w:rFonts w:cstheme="minorHAnsi"/>
        </w:rPr>
        <w:t xml:space="preserve">If the proceedings </w:t>
      </w:r>
      <w:r w:rsidR="00FD5617">
        <w:rPr>
          <w:rFonts w:cstheme="minorHAnsi"/>
        </w:rPr>
        <w:t>stand</w:t>
      </w:r>
      <w:r w:rsidR="005B1E20">
        <w:rPr>
          <w:rFonts w:cstheme="minorHAnsi"/>
        </w:rPr>
        <w:t xml:space="preserve"> terminat</w:t>
      </w:r>
      <w:r>
        <w:rPr>
          <w:rFonts w:cstheme="minorHAnsi"/>
        </w:rPr>
        <w:t>ed</w:t>
      </w:r>
      <w:r w:rsidR="005B1E20">
        <w:rPr>
          <w:rFonts w:cstheme="minorHAnsi"/>
        </w:rPr>
        <w:t xml:space="preserve"> on the resignation or discontinuance of an auditor, the penal consequences as provided under the second proviso </w:t>
      </w:r>
      <w:r>
        <w:rPr>
          <w:rFonts w:cstheme="minorHAnsi"/>
        </w:rPr>
        <w:t>can</w:t>
      </w:r>
      <w:r w:rsidR="005B1E20">
        <w:rPr>
          <w:rFonts w:cstheme="minorHAnsi"/>
        </w:rPr>
        <w:t xml:space="preserve"> </w:t>
      </w:r>
      <w:r w:rsidR="00FD5617">
        <w:rPr>
          <w:rFonts w:cstheme="minorHAnsi"/>
        </w:rPr>
        <w:t xml:space="preserve">easily </w:t>
      </w:r>
      <w:r w:rsidR="005B1E20">
        <w:rPr>
          <w:rFonts w:cstheme="minorHAnsi"/>
        </w:rPr>
        <w:t xml:space="preserve">be </w:t>
      </w:r>
      <w:r>
        <w:rPr>
          <w:rFonts w:cstheme="minorHAnsi"/>
        </w:rPr>
        <w:t>circumvented</w:t>
      </w:r>
      <w:r w:rsidR="005B1E20">
        <w:rPr>
          <w:rFonts w:cstheme="minorHAnsi"/>
        </w:rPr>
        <w:t xml:space="preserve"> by the simple act of resignation.</w:t>
      </w:r>
    </w:p>
    <w:p w14:paraId="62E131B5" w14:textId="77777777" w:rsidR="005B1E20" w:rsidRDefault="005B1E20" w:rsidP="004E5DE8">
      <w:pPr>
        <w:pStyle w:val="MP-Para"/>
        <w:rPr>
          <w:rFonts w:cstheme="minorHAnsi"/>
        </w:rPr>
      </w:pPr>
    </w:p>
    <w:p w14:paraId="5DF70038" w14:textId="5943B24F" w:rsidR="005B1E20" w:rsidRPr="005B1E20" w:rsidRDefault="00F16678" w:rsidP="004E5DE8">
      <w:pPr>
        <w:pStyle w:val="MP-Para"/>
        <w:rPr>
          <w:rFonts w:cstheme="minorHAnsi"/>
        </w:rPr>
      </w:pPr>
      <w:r>
        <w:rPr>
          <w:rFonts w:cstheme="minorHAnsi"/>
        </w:rPr>
        <w:t xml:space="preserve">The Supreme Court laid emphasis </w:t>
      </w:r>
      <w:r w:rsidR="00FD5617">
        <w:rPr>
          <w:rFonts w:cstheme="minorHAnsi"/>
        </w:rPr>
        <w:t>on</w:t>
      </w:r>
      <w:r>
        <w:rPr>
          <w:rFonts w:cstheme="minorHAnsi"/>
        </w:rPr>
        <w:t xml:space="preserve"> </w:t>
      </w:r>
      <w:r w:rsidR="005B1E20">
        <w:rPr>
          <w:rFonts w:cstheme="minorHAnsi"/>
        </w:rPr>
        <w:t xml:space="preserve">Section 140(5) </w:t>
      </w:r>
      <w:r w:rsidR="00FD5617">
        <w:rPr>
          <w:rFonts w:cstheme="minorHAnsi"/>
        </w:rPr>
        <w:t xml:space="preserve">and state that this </w:t>
      </w:r>
      <w:r w:rsidR="005B1E20">
        <w:rPr>
          <w:rFonts w:cstheme="minorHAnsi"/>
        </w:rPr>
        <w:t xml:space="preserve">is a substantive provision and a consequence of the </w:t>
      </w:r>
      <w:r w:rsidR="00471540">
        <w:rPr>
          <w:rFonts w:cstheme="minorHAnsi"/>
        </w:rPr>
        <w:t xml:space="preserve">NCLT </w:t>
      </w:r>
      <w:r w:rsidR="005B1E20">
        <w:rPr>
          <w:rFonts w:cstheme="minorHAnsi"/>
        </w:rPr>
        <w:t>finding that the auditor has acted fraudulently</w:t>
      </w:r>
      <w:r w:rsidR="00FD5617">
        <w:rPr>
          <w:rFonts w:cstheme="minorHAnsi"/>
        </w:rPr>
        <w:t xml:space="preserve">.  This makes </w:t>
      </w:r>
      <w:r w:rsidR="005B1E20">
        <w:rPr>
          <w:rFonts w:cstheme="minorHAnsi"/>
        </w:rPr>
        <w:t xml:space="preserve">the auditor ineligible to be appointed as auditor for </w:t>
      </w:r>
      <w:r w:rsidR="005B1E20" w:rsidRPr="00877E12">
        <w:rPr>
          <w:rFonts w:cstheme="minorHAnsi"/>
        </w:rPr>
        <w:t>any</w:t>
      </w:r>
      <w:r w:rsidR="005B1E20">
        <w:rPr>
          <w:rFonts w:cstheme="minorHAnsi"/>
          <w:b/>
          <w:bCs/>
        </w:rPr>
        <w:t xml:space="preserve"> </w:t>
      </w:r>
      <w:r w:rsidR="005B1E20">
        <w:rPr>
          <w:rFonts w:cstheme="minorHAnsi"/>
        </w:rPr>
        <w:t xml:space="preserve">company for a period of five </w:t>
      </w:r>
      <w:r w:rsidR="00FD5617">
        <w:rPr>
          <w:rFonts w:cstheme="minorHAnsi"/>
        </w:rPr>
        <w:t xml:space="preserve">(5) </w:t>
      </w:r>
      <w:r w:rsidR="005B1E20">
        <w:rPr>
          <w:rFonts w:cstheme="minorHAnsi"/>
        </w:rPr>
        <w:t xml:space="preserve">years. </w:t>
      </w:r>
      <w:r>
        <w:rPr>
          <w:rFonts w:cstheme="minorHAnsi"/>
        </w:rPr>
        <w:t xml:space="preserve"> Therefore, a</w:t>
      </w:r>
      <w:r w:rsidR="005B1E20">
        <w:rPr>
          <w:rFonts w:cstheme="minorHAnsi"/>
        </w:rPr>
        <w:t xml:space="preserve">n auditor cannot be permitted to avoid these consequences merely by resigning </w:t>
      </w:r>
      <w:r w:rsidR="00FD5617">
        <w:rPr>
          <w:rFonts w:cstheme="minorHAnsi"/>
        </w:rPr>
        <w:t xml:space="preserve">as auditor of a </w:t>
      </w:r>
      <w:r w:rsidR="005B1E20">
        <w:rPr>
          <w:rFonts w:cstheme="minorHAnsi"/>
        </w:rPr>
        <w:t xml:space="preserve">company. </w:t>
      </w:r>
    </w:p>
    <w:p w14:paraId="033287B7" w14:textId="77777777" w:rsidR="004E5DE8" w:rsidRPr="004E5DE8" w:rsidRDefault="004E5DE8" w:rsidP="004E5DE8">
      <w:pPr>
        <w:pStyle w:val="MP-Para"/>
        <w:rPr>
          <w:rFonts w:cstheme="minorHAnsi"/>
        </w:rPr>
      </w:pPr>
    </w:p>
    <w:p w14:paraId="58202AB1" w14:textId="7F2B6AE0" w:rsidR="004E5DE8" w:rsidRPr="005B1E20" w:rsidRDefault="004E5DE8" w:rsidP="004E5DE8">
      <w:pPr>
        <w:pStyle w:val="MP-Para"/>
        <w:rPr>
          <w:rFonts w:cstheme="minorHAnsi"/>
          <w:b/>
          <w:bCs/>
        </w:rPr>
      </w:pPr>
      <w:r w:rsidRPr="005B1E20">
        <w:rPr>
          <w:rFonts w:cstheme="minorHAnsi"/>
          <w:b/>
          <w:bCs/>
        </w:rPr>
        <w:t xml:space="preserve">Our </w:t>
      </w:r>
      <w:r w:rsidR="00FD5617">
        <w:rPr>
          <w:rFonts w:cstheme="minorHAnsi"/>
          <w:b/>
          <w:bCs/>
        </w:rPr>
        <w:t>c</w:t>
      </w:r>
      <w:r w:rsidRPr="005B1E20">
        <w:rPr>
          <w:rFonts w:cstheme="minorHAnsi"/>
          <w:b/>
          <w:bCs/>
        </w:rPr>
        <w:t>omments</w:t>
      </w:r>
    </w:p>
    <w:p w14:paraId="65129C71" w14:textId="77777777" w:rsidR="004E5DE8" w:rsidRPr="004E5DE8" w:rsidRDefault="004E5DE8" w:rsidP="004E5DE8">
      <w:pPr>
        <w:pStyle w:val="MP-Para"/>
        <w:rPr>
          <w:rFonts w:cstheme="minorHAnsi"/>
        </w:rPr>
      </w:pPr>
    </w:p>
    <w:p w14:paraId="4B62A1A3" w14:textId="5B67E2BA" w:rsidR="00CE360E" w:rsidRPr="009641A8" w:rsidRDefault="004E5DE8" w:rsidP="00CE360E">
      <w:pPr>
        <w:pStyle w:val="MP-Para"/>
        <w:rPr>
          <w:rFonts w:cstheme="minorHAnsi"/>
        </w:rPr>
      </w:pPr>
      <w:r w:rsidRPr="004E5DE8">
        <w:rPr>
          <w:rFonts w:cstheme="minorHAnsi"/>
        </w:rPr>
        <w:t>Th</w:t>
      </w:r>
      <w:r w:rsidR="00FD5617">
        <w:rPr>
          <w:rFonts w:cstheme="minorHAnsi"/>
        </w:rPr>
        <w:t>e</w:t>
      </w:r>
      <w:r w:rsidR="005B1E20">
        <w:rPr>
          <w:rFonts w:cstheme="minorHAnsi"/>
        </w:rPr>
        <w:t xml:space="preserve"> Supreme Court </w:t>
      </w:r>
      <w:r w:rsidR="00FD5617">
        <w:rPr>
          <w:rFonts w:cstheme="minorHAnsi"/>
        </w:rPr>
        <w:t xml:space="preserve">decision </w:t>
      </w:r>
      <w:r w:rsidR="005B1E20">
        <w:rPr>
          <w:rFonts w:cstheme="minorHAnsi"/>
        </w:rPr>
        <w:t>follows a recent trend</w:t>
      </w:r>
      <w:r w:rsidR="00CD15CF">
        <w:rPr>
          <w:rFonts w:cstheme="minorHAnsi"/>
        </w:rPr>
        <w:t xml:space="preserve"> of stringent corporate governance</w:t>
      </w:r>
      <w:r w:rsidR="00FD5617">
        <w:rPr>
          <w:rFonts w:cstheme="minorHAnsi"/>
        </w:rPr>
        <w:t xml:space="preserve"> rulings,</w:t>
      </w:r>
      <w:r w:rsidR="00CD15CF">
        <w:rPr>
          <w:rFonts w:cstheme="minorHAnsi"/>
        </w:rPr>
        <w:t xml:space="preserve"> ostensibly in the wake of allegations of misconduct against the Adani group.  </w:t>
      </w:r>
      <w:r w:rsidR="00FD5617">
        <w:rPr>
          <w:rFonts w:cstheme="minorHAnsi"/>
        </w:rPr>
        <w:t>It</w:t>
      </w:r>
      <w:r w:rsidR="009641A8">
        <w:rPr>
          <w:rFonts w:cstheme="minorHAnsi"/>
        </w:rPr>
        <w:t xml:space="preserve"> highlights the importance of the independent role of </w:t>
      </w:r>
      <w:r w:rsidR="00FD5617">
        <w:rPr>
          <w:rFonts w:cstheme="minorHAnsi"/>
        </w:rPr>
        <w:t xml:space="preserve">an </w:t>
      </w:r>
      <w:r w:rsidR="009641A8">
        <w:rPr>
          <w:rFonts w:cstheme="minorHAnsi"/>
        </w:rPr>
        <w:t xml:space="preserve">auditor and </w:t>
      </w:r>
      <w:r w:rsidR="00FD5617">
        <w:rPr>
          <w:rFonts w:cstheme="minorHAnsi"/>
        </w:rPr>
        <w:t>an auditor’s</w:t>
      </w:r>
      <w:r w:rsidR="009641A8">
        <w:rPr>
          <w:rFonts w:cstheme="minorHAnsi"/>
        </w:rPr>
        <w:t xml:space="preserve"> statutory duty to detect and prevent fraud in the companies </w:t>
      </w:r>
      <w:r w:rsidR="00FD5617">
        <w:rPr>
          <w:rFonts w:cstheme="minorHAnsi"/>
        </w:rPr>
        <w:t>under</w:t>
      </w:r>
      <w:r w:rsidR="009641A8">
        <w:rPr>
          <w:rFonts w:cstheme="minorHAnsi"/>
        </w:rPr>
        <w:t xml:space="preserve"> audit.  </w:t>
      </w:r>
      <w:r w:rsidR="00CD15CF">
        <w:rPr>
          <w:rFonts w:cstheme="minorHAnsi"/>
        </w:rPr>
        <w:t xml:space="preserve">By clarifying that penal consequences of fraud cannot be avoided </w:t>
      </w:r>
      <w:r w:rsidR="00FD5617">
        <w:rPr>
          <w:rFonts w:cstheme="minorHAnsi"/>
        </w:rPr>
        <w:t>by</w:t>
      </w:r>
      <w:r w:rsidR="00CD15CF">
        <w:rPr>
          <w:rFonts w:cstheme="minorHAnsi"/>
        </w:rPr>
        <w:t xml:space="preserve"> mere resignation, the Supreme Court has taken a hard stance against </w:t>
      </w:r>
      <w:r w:rsidR="00FD5617">
        <w:rPr>
          <w:rFonts w:cstheme="minorHAnsi"/>
        </w:rPr>
        <w:t xml:space="preserve">auditor </w:t>
      </w:r>
      <w:r w:rsidR="00CD15CF">
        <w:rPr>
          <w:rFonts w:cstheme="minorHAnsi"/>
        </w:rPr>
        <w:t xml:space="preserve">misconduct </w:t>
      </w:r>
      <w:r w:rsidR="00FD5617">
        <w:rPr>
          <w:rFonts w:cstheme="minorHAnsi"/>
        </w:rPr>
        <w:t>and collusion.  This</w:t>
      </w:r>
      <w:r w:rsidR="00CD15CF">
        <w:rPr>
          <w:rFonts w:cstheme="minorHAnsi"/>
        </w:rPr>
        <w:t xml:space="preserve"> decision </w:t>
      </w:r>
      <w:r w:rsidR="00FD5617">
        <w:rPr>
          <w:rFonts w:cstheme="minorHAnsi"/>
        </w:rPr>
        <w:t xml:space="preserve">will surely act as </w:t>
      </w:r>
      <w:r w:rsidR="00CD15CF">
        <w:rPr>
          <w:rFonts w:cstheme="minorHAnsi"/>
        </w:rPr>
        <w:t xml:space="preserve">a deterrent against </w:t>
      </w:r>
      <w:r w:rsidR="00FD5617">
        <w:rPr>
          <w:rFonts w:cstheme="minorHAnsi"/>
        </w:rPr>
        <w:t xml:space="preserve">professional </w:t>
      </w:r>
      <w:r w:rsidR="00CD15CF">
        <w:rPr>
          <w:rFonts w:cstheme="minorHAnsi"/>
        </w:rPr>
        <w:t>malpractice</w:t>
      </w:r>
      <w:r w:rsidR="00FD5617">
        <w:rPr>
          <w:rFonts w:cstheme="minorHAnsi"/>
        </w:rPr>
        <w:t xml:space="preserve"> not just for auditors but other professionals as well</w:t>
      </w:r>
      <w:r w:rsidR="00CD15CF">
        <w:rPr>
          <w:rFonts w:cstheme="minorHAnsi"/>
        </w:rPr>
        <w:t xml:space="preserve">. </w:t>
      </w:r>
    </w:p>
    <w:sectPr w:rsidR="00CE360E" w:rsidRPr="009641A8" w:rsidSect="002707A0">
      <w:headerReference w:type="default" r:id="rId7"/>
      <w:footerReference w:type="default" r:id="rId8"/>
      <w:pgSz w:w="11906" w:h="16838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6562C" w14:textId="77777777" w:rsidR="0099347D" w:rsidRDefault="0099347D" w:rsidP="008E3EFC">
      <w:pPr>
        <w:spacing w:after="0" w:line="240" w:lineRule="auto"/>
      </w:pPr>
      <w:r>
        <w:separator/>
      </w:r>
    </w:p>
  </w:endnote>
  <w:endnote w:type="continuationSeparator" w:id="0">
    <w:p w14:paraId="39E37483" w14:textId="77777777" w:rsidR="0099347D" w:rsidRDefault="0099347D" w:rsidP="008E3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DAFE" w14:textId="77777777" w:rsidR="0078171D" w:rsidRDefault="0078171D" w:rsidP="003A4537">
    <w:pPr>
      <w:pStyle w:val="Footer"/>
      <w:rPr>
        <w:sz w:val="18"/>
        <w:szCs w:val="18"/>
      </w:rPr>
    </w:pPr>
  </w:p>
  <w:p w14:paraId="2F220A32" w14:textId="2EEA1D1E" w:rsidR="0078171D" w:rsidRPr="003A4537" w:rsidRDefault="0078171D" w:rsidP="003A4537">
    <w:pPr>
      <w:pStyle w:val="MP-Author"/>
    </w:pPr>
    <w:r w:rsidRPr="003A4537">
      <w:t>Raheja Chambers, 2nd floor, Free Press Journal Road, Nariman Point, Mumbai 400 021, India</w:t>
    </w:r>
  </w:p>
  <w:p w14:paraId="47EDDFDA" w14:textId="77777777" w:rsidR="0078171D" w:rsidRPr="003A4537" w:rsidRDefault="0078171D" w:rsidP="003A4537">
    <w:pPr>
      <w:pStyle w:val="MP-Author"/>
    </w:pPr>
    <w:r w:rsidRPr="003A4537">
      <w:t>Tel: +91 22 6123-7272; Fax: 6123-7252; E-mail: mailbox@majmudarindia.com</w:t>
    </w:r>
  </w:p>
  <w:p w14:paraId="0BB1972C" w14:textId="147EAC34" w:rsidR="0078171D" w:rsidRPr="003A4537" w:rsidRDefault="0078171D" w:rsidP="003A4537">
    <w:pPr>
      <w:pStyle w:val="MP-Author"/>
    </w:pPr>
    <w:r w:rsidRPr="003A4537">
      <w:t>Other Office – Bangalore | Integrated Network Offices – Chennai, Hyderabad and New Delhi</w:t>
    </w:r>
  </w:p>
  <w:p w14:paraId="7665AC2D" w14:textId="45F2403B" w:rsidR="0078171D" w:rsidRPr="003A4537" w:rsidRDefault="00000000" w:rsidP="003A4537">
    <w:pPr>
      <w:pStyle w:val="MP-Author"/>
    </w:pPr>
    <w:hyperlink r:id="rId1" w:history="1">
      <w:r w:rsidR="0078171D" w:rsidRPr="003A4537">
        <w:rPr>
          <w:rStyle w:val="Hyperlink"/>
        </w:rPr>
        <w:t>www.majmudarindia.com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5DBA" w14:textId="77777777" w:rsidR="0099347D" w:rsidRDefault="0099347D" w:rsidP="008E3EFC">
      <w:pPr>
        <w:spacing w:after="0" w:line="240" w:lineRule="auto"/>
      </w:pPr>
      <w:r>
        <w:separator/>
      </w:r>
    </w:p>
  </w:footnote>
  <w:footnote w:type="continuationSeparator" w:id="0">
    <w:p w14:paraId="4BDFEF3E" w14:textId="77777777" w:rsidR="0099347D" w:rsidRDefault="0099347D" w:rsidP="008E3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123810"/>
      <w:docPartObj>
        <w:docPartGallery w:val="Page Numbers (Margins)"/>
        <w:docPartUnique/>
      </w:docPartObj>
    </w:sdtPr>
    <w:sdtContent>
      <w:p w14:paraId="55607BAE" w14:textId="57C313BA" w:rsidR="0078171D" w:rsidRDefault="0078171D" w:rsidP="00AD2397">
        <w:pPr>
          <w:pStyle w:val="Header"/>
        </w:pPr>
        <w:r>
          <w:rPr>
            <w:noProof/>
            <w:lang w:eastAsia="en-IN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A6AC427" wp14:editId="6A7B67C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" name="Rectangl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F3FA17" w14:textId="390E977B" w:rsidR="0078171D" w:rsidRPr="00845695" w:rsidRDefault="0078171D" w:rsidP="00845695">
                              <w:pPr>
                                <w:pStyle w:val="Footer"/>
                                <w:ind w:left="4513" w:hanging="4513"/>
                                <w:rPr>
                                  <w:rFonts w:eastAsiaTheme="majorEastAsia" w:cstheme="minorHAnsi"/>
                                  <w:color w:val="00645B"/>
                                  <w:sz w:val="20"/>
                                  <w:szCs w:val="20"/>
                                </w:rPr>
                              </w:pPr>
                              <w:r w:rsidRPr="00845695">
                                <w:rPr>
                                  <w:rFonts w:eastAsiaTheme="majorEastAsia" w:cstheme="minorHAnsi"/>
                                  <w:color w:val="00645B"/>
                                  <w:sz w:val="20"/>
                                  <w:szCs w:val="20"/>
                                </w:rPr>
                                <w:t xml:space="preserve">Page </w:t>
                              </w:r>
                              <w:r w:rsidRPr="00845695">
                                <w:rPr>
                                  <w:rFonts w:eastAsiaTheme="minorEastAsia" w:cstheme="minorHAnsi"/>
                                  <w:color w:val="00645B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845695">
                                <w:rPr>
                                  <w:rFonts w:cstheme="minorHAnsi"/>
                                  <w:color w:val="00645B"/>
                                  <w:sz w:val="20"/>
                                  <w:szCs w:val="20"/>
                                </w:rPr>
                                <w:instrText xml:space="preserve"> PAGE    \* MERGEFORMAT </w:instrText>
                              </w:r>
                              <w:r w:rsidRPr="00845695">
                                <w:rPr>
                                  <w:rFonts w:eastAsiaTheme="minorEastAsia" w:cstheme="minorHAnsi"/>
                                  <w:color w:val="00645B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FC30D3" w:rsidRPr="00FC30D3">
                                <w:rPr>
                                  <w:rFonts w:eastAsiaTheme="majorEastAsia" w:cstheme="minorHAnsi"/>
                                  <w:noProof/>
                                  <w:color w:val="00645B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845695">
                                <w:rPr>
                                  <w:rFonts w:eastAsiaTheme="majorEastAsia" w:cstheme="minorHAnsi"/>
                                  <w:noProof/>
                                  <w:color w:val="00645B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6A6AC427" id="Rectangle 9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CF3FA17" w14:textId="390E977B" w:rsidR="0078171D" w:rsidRPr="00845695" w:rsidRDefault="0078171D" w:rsidP="00845695">
                        <w:pPr>
                          <w:pStyle w:val="Footer"/>
                          <w:ind w:left="4513" w:hanging="4513"/>
                          <w:rPr>
                            <w:rFonts w:eastAsiaTheme="majorEastAsia" w:cstheme="minorHAnsi"/>
                            <w:color w:val="00645B"/>
                            <w:sz w:val="20"/>
                            <w:szCs w:val="20"/>
                          </w:rPr>
                        </w:pPr>
                        <w:r w:rsidRPr="00845695">
                          <w:rPr>
                            <w:rFonts w:eastAsiaTheme="majorEastAsia" w:cstheme="minorHAnsi"/>
                            <w:color w:val="00645B"/>
                            <w:sz w:val="20"/>
                            <w:szCs w:val="20"/>
                          </w:rPr>
                          <w:t xml:space="preserve">Page </w:t>
                        </w:r>
                        <w:r w:rsidRPr="00845695">
                          <w:rPr>
                            <w:rFonts w:eastAsiaTheme="minorEastAsia" w:cstheme="minorHAnsi"/>
                            <w:color w:val="00645B"/>
                            <w:sz w:val="20"/>
                            <w:szCs w:val="20"/>
                          </w:rPr>
                          <w:fldChar w:fldCharType="begin"/>
                        </w:r>
                        <w:r w:rsidRPr="00845695">
                          <w:rPr>
                            <w:rFonts w:cstheme="minorHAnsi"/>
                            <w:color w:val="00645B"/>
                            <w:sz w:val="20"/>
                            <w:szCs w:val="20"/>
                          </w:rPr>
                          <w:instrText xml:space="preserve"> PAGE    \* MERGEFORMAT </w:instrText>
                        </w:r>
                        <w:r w:rsidRPr="00845695">
                          <w:rPr>
                            <w:rFonts w:eastAsiaTheme="minorEastAsia" w:cstheme="minorHAnsi"/>
                            <w:color w:val="00645B"/>
                            <w:sz w:val="20"/>
                            <w:szCs w:val="20"/>
                          </w:rPr>
                          <w:fldChar w:fldCharType="separate"/>
                        </w:r>
                        <w:r w:rsidR="00FC30D3" w:rsidRPr="00FC30D3">
                          <w:rPr>
                            <w:rFonts w:eastAsiaTheme="majorEastAsia" w:cstheme="minorHAnsi"/>
                            <w:noProof/>
                            <w:color w:val="00645B"/>
                            <w:sz w:val="20"/>
                            <w:szCs w:val="20"/>
                          </w:rPr>
                          <w:t>3</w:t>
                        </w:r>
                        <w:r w:rsidRPr="00845695">
                          <w:rPr>
                            <w:rFonts w:eastAsiaTheme="majorEastAsia" w:cstheme="minorHAnsi"/>
                            <w:noProof/>
                            <w:color w:val="00645B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p w14:paraId="4FF24484" w14:textId="39DC4487" w:rsidR="0078171D" w:rsidRDefault="0078171D">
    <w:pPr>
      <w:pStyle w:val="Header"/>
    </w:pPr>
    <w:r>
      <w:rPr>
        <w:noProof/>
        <w:lang w:eastAsia="en-IN"/>
      </w:rPr>
      <w:drawing>
        <wp:inline distT="0" distB="0" distL="0" distR="0" wp14:anchorId="523DB51A" wp14:editId="245979EB">
          <wp:extent cx="2146855" cy="357809"/>
          <wp:effectExtent l="0" t="0" r="6350" b="4445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566" cy="368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1F5"/>
    <w:multiLevelType w:val="hybridMultilevel"/>
    <w:tmpl w:val="2CDE873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324CD"/>
    <w:multiLevelType w:val="hybridMultilevel"/>
    <w:tmpl w:val="262E39F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C2FF9"/>
    <w:multiLevelType w:val="hybridMultilevel"/>
    <w:tmpl w:val="6002C56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E351F"/>
    <w:multiLevelType w:val="hybridMultilevel"/>
    <w:tmpl w:val="31E47B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701D"/>
    <w:multiLevelType w:val="hybridMultilevel"/>
    <w:tmpl w:val="BD60833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572085"/>
    <w:multiLevelType w:val="hybridMultilevel"/>
    <w:tmpl w:val="70780B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A5E57"/>
    <w:multiLevelType w:val="hybridMultilevel"/>
    <w:tmpl w:val="32881C9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F0F50"/>
    <w:multiLevelType w:val="hybridMultilevel"/>
    <w:tmpl w:val="1646BCC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1075384">
    <w:abstractNumId w:val="5"/>
  </w:num>
  <w:num w:numId="2" w16cid:durableId="1477794243">
    <w:abstractNumId w:val="6"/>
  </w:num>
  <w:num w:numId="3" w16cid:durableId="1951283031">
    <w:abstractNumId w:val="3"/>
  </w:num>
  <w:num w:numId="4" w16cid:durableId="1436169446">
    <w:abstractNumId w:val="1"/>
  </w:num>
  <w:num w:numId="5" w16cid:durableId="1051853228">
    <w:abstractNumId w:val="2"/>
  </w:num>
  <w:num w:numId="6" w16cid:durableId="206526811">
    <w:abstractNumId w:val="7"/>
  </w:num>
  <w:num w:numId="7" w16cid:durableId="227960067">
    <w:abstractNumId w:val="0"/>
  </w:num>
  <w:num w:numId="8" w16cid:durableId="1396391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9C"/>
    <w:rsid w:val="00002900"/>
    <w:rsid w:val="00006FD2"/>
    <w:rsid w:val="00010152"/>
    <w:rsid w:val="00012644"/>
    <w:rsid w:val="000128F1"/>
    <w:rsid w:val="0003716D"/>
    <w:rsid w:val="00037496"/>
    <w:rsid w:val="00052CFF"/>
    <w:rsid w:val="000549C1"/>
    <w:rsid w:val="0005703D"/>
    <w:rsid w:val="00057952"/>
    <w:rsid w:val="00057AD6"/>
    <w:rsid w:val="00062525"/>
    <w:rsid w:val="00067574"/>
    <w:rsid w:val="000708B5"/>
    <w:rsid w:val="00071160"/>
    <w:rsid w:val="00071435"/>
    <w:rsid w:val="0007514B"/>
    <w:rsid w:val="0008558A"/>
    <w:rsid w:val="0008793F"/>
    <w:rsid w:val="00091C7D"/>
    <w:rsid w:val="000A4A03"/>
    <w:rsid w:val="000B3395"/>
    <w:rsid w:val="000B4248"/>
    <w:rsid w:val="000B5148"/>
    <w:rsid w:val="000C13CB"/>
    <w:rsid w:val="000C4824"/>
    <w:rsid w:val="000C4F7E"/>
    <w:rsid w:val="000C7100"/>
    <w:rsid w:val="000D00D3"/>
    <w:rsid w:val="000D14E8"/>
    <w:rsid w:val="000D1A32"/>
    <w:rsid w:val="000D1C56"/>
    <w:rsid w:val="000D2659"/>
    <w:rsid w:val="000E166C"/>
    <w:rsid w:val="000E272B"/>
    <w:rsid w:val="000E38B6"/>
    <w:rsid w:val="000F1916"/>
    <w:rsid w:val="000F287B"/>
    <w:rsid w:val="000F2AAC"/>
    <w:rsid w:val="000F33DC"/>
    <w:rsid w:val="000F52B4"/>
    <w:rsid w:val="000F7A4C"/>
    <w:rsid w:val="001010E7"/>
    <w:rsid w:val="00104FF6"/>
    <w:rsid w:val="00106ECF"/>
    <w:rsid w:val="00114925"/>
    <w:rsid w:val="00124434"/>
    <w:rsid w:val="001260A6"/>
    <w:rsid w:val="00133274"/>
    <w:rsid w:val="00135804"/>
    <w:rsid w:val="00136998"/>
    <w:rsid w:val="00140BE0"/>
    <w:rsid w:val="0014438B"/>
    <w:rsid w:val="0015022D"/>
    <w:rsid w:val="0016003E"/>
    <w:rsid w:val="001602C6"/>
    <w:rsid w:val="00160B41"/>
    <w:rsid w:val="001615C8"/>
    <w:rsid w:val="00165639"/>
    <w:rsid w:val="001713EE"/>
    <w:rsid w:val="001731F5"/>
    <w:rsid w:val="00174AD1"/>
    <w:rsid w:val="00174E60"/>
    <w:rsid w:val="0017558A"/>
    <w:rsid w:val="00181707"/>
    <w:rsid w:val="00190BA2"/>
    <w:rsid w:val="001A0AFA"/>
    <w:rsid w:val="001A76CD"/>
    <w:rsid w:val="001A7A95"/>
    <w:rsid w:val="001B1BBA"/>
    <w:rsid w:val="001B3B2C"/>
    <w:rsid w:val="001C130C"/>
    <w:rsid w:val="001C279F"/>
    <w:rsid w:val="001C7490"/>
    <w:rsid w:val="001E5CBF"/>
    <w:rsid w:val="001F2B9C"/>
    <w:rsid w:val="001F2E0A"/>
    <w:rsid w:val="001F4A36"/>
    <w:rsid w:val="001F55FB"/>
    <w:rsid w:val="002026DE"/>
    <w:rsid w:val="00203972"/>
    <w:rsid w:val="00234789"/>
    <w:rsid w:val="002413A5"/>
    <w:rsid w:val="002459BB"/>
    <w:rsid w:val="0025007D"/>
    <w:rsid w:val="00255E1D"/>
    <w:rsid w:val="00256841"/>
    <w:rsid w:val="002707A0"/>
    <w:rsid w:val="00275C6A"/>
    <w:rsid w:val="002817CC"/>
    <w:rsid w:val="0028372A"/>
    <w:rsid w:val="00292C1E"/>
    <w:rsid w:val="00295D9E"/>
    <w:rsid w:val="002A480F"/>
    <w:rsid w:val="002A63AC"/>
    <w:rsid w:val="002B0005"/>
    <w:rsid w:val="002B0C5D"/>
    <w:rsid w:val="002B2BBE"/>
    <w:rsid w:val="002B6540"/>
    <w:rsid w:val="002B6D92"/>
    <w:rsid w:val="002D189D"/>
    <w:rsid w:val="002D7D27"/>
    <w:rsid w:val="002E3EA0"/>
    <w:rsid w:val="002E5DE0"/>
    <w:rsid w:val="002E6F80"/>
    <w:rsid w:val="002E7209"/>
    <w:rsid w:val="002F372C"/>
    <w:rsid w:val="00300DDC"/>
    <w:rsid w:val="00300FFA"/>
    <w:rsid w:val="00304156"/>
    <w:rsid w:val="00305773"/>
    <w:rsid w:val="00311B11"/>
    <w:rsid w:val="00312BBF"/>
    <w:rsid w:val="00317735"/>
    <w:rsid w:val="00326324"/>
    <w:rsid w:val="00332131"/>
    <w:rsid w:val="00334E95"/>
    <w:rsid w:val="0034594E"/>
    <w:rsid w:val="00350198"/>
    <w:rsid w:val="00353AE8"/>
    <w:rsid w:val="00363200"/>
    <w:rsid w:val="00372C3F"/>
    <w:rsid w:val="0037412F"/>
    <w:rsid w:val="00380A71"/>
    <w:rsid w:val="00392B33"/>
    <w:rsid w:val="00392C8C"/>
    <w:rsid w:val="00395E36"/>
    <w:rsid w:val="003A4537"/>
    <w:rsid w:val="003A7635"/>
    <w:rsid w:val="003B0A69"/>
    <w:rsid w:val="003B3267"/>
    <w:rsid w:val="003C2CBB"/>
    <w:rsid w:val="003D1C23"/>
    <w:rsid w:val="003E29C5"/>
    <w:rsid w:val="003E5A38"/>
    <w:rsid w:val="003E5FE9"/>
    <w:rsid w:val="003E73D1"/>
    <w:rsid w:val="003E7A93"/>
    <w:rsid w:val="003F6902"/>
    <w:rsid w:val="003F6C2A"/>
    <w:rsid w:val="00400278"/>
    <w:rsid w:val="00407B19"/>
    <w:rsid w:val="00427716"/>
    <w:rsid w:val="00427ABF"/>
    <w:rsid w:val="00430A77"/>
    <w:rsid w:val="004347FD"/>
    <w:rsid w:val="00435B50"/>
    <w:rsid w:val="00446970"/>
    <w:rsid w:val="00447808"/>
    <w:rsid w:val="0045317D"/>
    <w:rsid w:val="00454506"/>
    <w:rsid w:val="00455BAF"/>
    <w:rsid w:val="00457A19"/>
    <w:rsid w:val="0046330D"/>
    <w:rsid w:val="00465317"/>
    <w:rsid w:val="00465A08"/>
    <w:rsid w:val="004661FA"/>
    <w:rsid w:val="004667DF"/>
    <w:rsid w:val="00471540"/>
    <w:rsid w:val="00480325"/>
    <w:rsid w:val="00482185"/>
    <w:rsid w:val="00482D48"/>
    <w:rsid w:val="004852B7"/>
    <w:rsid w:val="00494BC7"/>
    <w:rsid w:val="004B1A46"/>
    <w:rsid w:val="004B4239"/>
    <w:rsid w:val="004B6ADD"/>
    <w:rsid w:val="004B6B5D"/>
    <w:rsid w:val="004C30DE"/>
    <w:rsid w:val="004C6889"/>
    <w:rsid w:val="004D78DF"/>
    <w:rsid w:val="004E21C9"/>
    <w:rsid w:val="004E39AC"/>
    <w:rsid w:val="004E5DE8"/>
    <w:rsid w:val="004E7DE7"/>
    <w:rsid w:val="004F0072"/>
    <w:rsid w:val="004F1092"/>
    <w:rsid w:val="004F36C1"/>
    <w:rsid w:val="00512231"/>
    <w:rsid w:val="005130BB"/>
    <w:rsid w:val="00514E4B"/>
    <w:rsid w:val="005156DE"/>
    <w:rsid w:val="00520252"/>
    <w:rsid w:val="005246AD"/>
    <w:rsid w:val="00525AF1"/>
    <w:rsid w:val="00526B27"/>
    <w:rsid w:val="00530B60"/>
    <w:rsid w:val="00534119"/>
    <w:rsid w:val="0054307C"/>
    <w:rsid w:val="00544272"/>
    <w:rsid w:val="0055382D"/>
    <w:rsid w:val="005706B2"/>
    <w:rsid w:val="00572E58"/>
    <w:rsid w:val="005740F0"/>
    <w:rsid w:val="00583FB2"/>
    <w:rsid w:val="00587FB2"/>
    <w:rsid w:val="00592021"/>
    <w:rsid w:val="005953A5"/>
    <w:rsid w:val="00595FB7"/>
    <w:rsid w:val="0059625C"/>
    <w:rsid w:val="005B1E20"/>
    <w:rsid w:val="005B51A6"/>
    <w:rsid w:val="005B6B92"/>
    <w:rsid w:val="005C3337"/>
    <w:rsid w:val="005D6F23"/>
    <w:rsid w:val="005E6C19"/>
    <w:rsid w:val="005F02A9"/>
    <w:rsid w:val="005F06B9"/>
    <w:rsid w:val="006169C0"/>
    <w:rsid w:val="00617A1B"/>
    <w:rsid w:val="006247FF"/>
    <w:rsid w:val="006316DE"/>
    <w:rsid w:val="00633F08"/>
    <w:rsid w:val="00642ED4"/>
    <w:rsid w:val="006430B6"/>
    <w:rsid w:val="00643D0E"/>
    <w:rsid w:val="00644A60"/>
    <w:rsid w:val="00650067"/>
    <w:rsid w:val="0065138B"/>
    <w:rsid w:val="006517C1"/>
    <w:rsid w:val="00651F98"/>
    <w:rsid w:val="00652B1D"/>
    <w:rsid w:val="006538E9"/>
    <w:rsid w:val="00670E78"/>
    <w:rsid w:val="0067283A"/>
    <w:rsid w:val="00681EB7"/>
    <w:rsid w:val="00681F59"/>
    <w:rsid w:val="006A2511"/>
    <w:rsid w:val="006A2CEC"/>
    <w:rsid w:val="006A7FAF"/>
    <w:rsid w:val="006B2566"/>
    <w:rsid w:val="006B30A3"/>
    <w:rsid w:val="006B4B57"/>
    <w:rsid w:val="006B53B6"/>
    <w:rsid w:val="006B6ADC"/>
    <w:rsid w:val="006C3AA1"/>
    <w:rsid w:val="006D67A2"/>
    <w:rsid w:val="006E391B"/>
    <w:rsid w:val="006F0A55"/>
    <w:rsid w:val="006F0CFE"/>
    <w:rsid w:val="006F57B2"/>
    <w:rsid w:val="007007F3"/>
    <w:rsid w:val="0070435D"/>
    <w:rsid w:val="007069BE"/>
    <w:rsid w:val="00707DE0"/>
    <w:rsid w:val="00714C01"/>
    <w:rsid w:val="00721F88"/>
    <w:rsid w:val="007411DE"/>
    <w:rsid w:val="00742419"/>
    <w:rsid w:val="0074433A"/>
    <w:rsid w:val="00747016"/>
    <w:rsid w:val="007478E5"/>
    <w:rsid w:val="00756058"/>
    <w:rsid w:val="007576C9"/>
    <w:rsid w:val="00765EDE"/>
    <w:rsid w:val="00766EF0"/>
    <w:rsid w:val="007728A7"/>
    <w:rsid w:val="00774372"/>
    <w:rsid w:val="00776842"/>
    <w:rsid w:val="0078171D"/>
    <w:rsid w:val="007842CA"/>
    <w:rsid w:val="007861C6"/>
    <w:rsid w:val="0079186E"/>
    <w:rsid w:val="007A02A4"/>
    <w:rsid w:val="007A574C"/>
    <w:rsid w:val="007A6165"/>
    <w:rsid w:val="007A700B"/>
    <w:rsid w:val="007A72FF"/>
    <w:rsid w:val="007B2344"/>
    <w:rsid w:val="007B7EF4"/>
    <w:rsid w:val="007C5100"/>
    <w:rsid w:val="007C6687"/>
    <w:rsid w:val="007C6BC5"/>
    <w:rsid w:val="007D425A"/>
    <w:rsid w:val="007E6FC6"/>
    <w:rsid w:val="00806D7C"/>
    <w:rsid w:val="00807070"/>
    <w:rsid w:val="00807E5F"/>
    <w:rsid w:val="0081342B"/>
    <w:rsid w:val="00820AEA"/>
    <w:rsid w:val="00822D5E"/>
    <w:rsid w:val="00843522"/>
    <w:rsid w:val="008444F0"/>
    <w:rsid w:val="00845695"/>
    <w:rsid w:val="008474C7"/>
    <w:rsid w:val="00857228"/>
    <w:rsid w:val="00863408"/>
    <w:rsid w:val="00865658"/>
    <w:rsid w:val="00866C4F"/>
    <w:rsid w:val="0087038D"/>
    <w:rsid w:val="0087153D"/>
    <w:rsid w:val="008727DF"/>
    <w:rsid w:val="00873E3E"/>
    <w:rsid w:val="008746A7"/>
    <w:rsid w:val="00875209"/>
    <w:rsid w:val="00877315"/>
    <w:rsid w:val="008777BE"/>
    <w:rsid w:val="00877E12"/>
    <w:rsid w:val="00880810"/>
    <w:rsid w:val="00885CBA"/>
    <w:rsid w:val="00886B62"/>
    <w:rsid w:val="00886EE4"/>
    <w:rsid w:val="008913CB"/>
    <w:rsid w:val="00893891"/>
    <w:rsid w:val="008A1277"/>
    <w:rsid w:val="008C0DE6"/>
    <w:rsid w:val="008D30C9"/>
    <w:rsid w:val="008D3DB1"/>
    <w:rsid w:val="008D6779"/>
    <w:rsid w:val="008D6ACE"/>
    <w:rsid w:val="008E3EFC"/>
    <w:rsid w:val="008E606D"/>
    <w:rsid w:val="00904332"/>
    <w:rsid w:val="00906A05"/>
    <w:rsid w:val="009073A4"/>
    <w:rsid w:val="00910F44"/>
    <w:rsid w:val="00931C4A"/>
    <w:rsid w:val="009326E6"/>
    <w:rsid w:val="00933CF9"/>
    <w:rsid w:val="009543E6"/>
    <w:rsid w:val="0095559C"/>
    <w:rsid w:val="00962960"/>
    <w:rsid w:val="009641A8"/>
    <w:rsid w:val="00964CEB"/>
    <w:rsid w:val="0097500A"/>
    <w:rsid w:val="00982C2C"/>
    <w:rsid w:val="0099347D"/>
    <w:rsid w:val="00997247"/>
    <w:rsid w:val="009A15C6"/>
    <w:rsid w:val="009A5FC4"/>
    <w:rsid w:val="009B4382"/>
    <w:rsid w:val="009B50DF"/>
    <w:rsid w:val="009B64B6"/>
    <w:rsid w:val="009B667B"/>
    <w:rsid w:val="009C3116"/>
    <w:rsid w:val="009D0C7E"/>
    <w:rsid w:val="009E3818"/>
    <w:rsid w:val="009E5A1A"/>
    <w:rsid w:val="009E6111"/>
    <w:rsid w:val="009E7E78"/>
    <w:rsid w:val="009F3F48"/>
    <w:rsid w:val="009F62EE"/>
    <w:rsid w:val="00A028F6"/>
    <w:rsid w:val="00A15AE8"/>
    <w:rsid w:val="00A16A9D"/>
    <w:rsid w:val="00A226B3"/>
    <w:rsid w:val="00A266F7"/>
    <w:rsid w:val="00A30ECF"/>
    <w:rsid w:val="00A3365E"/>
    <w:rsid w:val="00A418C6"/>
    <w:rsid w:val="00A4382B"/>
    <w:rsid w:val="00A4547F"/>
    <w:rsid w:val="00A52CF0"/>
    <w:rsid w:val="00A55B78"/>
    <w:rsid w:val="00A55BEA"/>
    <w:rsid w:val="00A62194"/>
    <w:rsid w:val="00A66839"/>
    <w:rsid w:val="00A67C27"/>
    <w:rsid w:val="00A67CCA"/>
    <w:rsid w:val="00A86873"/>
    <w:rsid w:val="00A91217"/>
    <w:rsid w:val="00AA4959"/>
    <w:rsid w:val="00AB4386"/>
    <w:rsid w:val="00AC3BEC"/>
    <w:rsid w:val="00AD2397"/>
    <w:rsid w:val="00AE26BA"/>
    <w:rsid w:val="00AF3048"/>
    <w:rsid w:val="00AF34BA"/>
    <w:rsid w:val="00B0651D"/>
    <w:rsid w:val="00B07840"/>
    <w:rsid w:val="00B105A5"/>
    <w:rsid w:val="00B1403A"/>
    <w:rsid w:val="00B25C64"/>
    <w:rsid w:val="00B31C57"/>
    <w:rsid w:val="00B37984"/>
    <w:rsid w:val="00B411C8"/>
    <w:rsid w:val="00B4374C"/>
    <w:rsid w:val="00B4554D"/>
    <w:rsid w:val="00B513AF"/>
    <w:rsid w:val="00B5653A"/>
    <w:rsid w:val="00B566EA"/>
    <w:rsid w:val="00B7115C"/>
    <w:rsid w:val="00B72BBF"/>
    <w:rsid w:val="00B8144D"/>
    <w:rsid w:val="00B85E34"/>
    <w:rsid w:val="00B87760"/>
    <w:rsid w:val="00B9251F"/>
    <w:rsid w:val="00B92C26"/>
    <w:rsid w:val="00B940A5"/>
    <w:rsid w:val="00B97612"/>
    <w:rsid w:val="00BB1D6A"/>
    <w:rsid w:val="00BB5D45"/>
    <w:rsid w:val="00BC4D0F"/>
    <w:rsid w:val="00BC7704"/>
    <w:rsid w:val="00BC7B84"/>
    <w:rsid w:val="00BE2271"/>
    <w:rsid w:val="00BF0493"/>
    <w:rsid w:val="00BF7019"/>
    <w:rsid w:val="00C11D99"/>
    <w:rsid w:val="00C1391F"/>
    <w:rsid w:val="00C164F2"/>
    <w:rsid w:val="00C21B46"/>
    <w:rsid w:val="00C23D97"/>
    <w:rsid w:val="00C267C1"/>
    <w:rsid w:val="00C34CF6"/>
    <w:rsid w:val="00C36960"/>
    <w:rsid w:val="00C40EC4"/>
    <w:rsid w:val="00C441C5"/>
    <w:rsid w:val="00C45124"/>
    <w:rsid w:val="00C45C76"/>
    <w:rsid w:val="00C46E9D"/>
    <w:rsid w:val="00C50DBF"/>
    <w:rsid w:val="00C52848"/>
    <w:rsid w:val="00C54C4C"/>
    <w:rsid w:val="00C5510F"/>
    <w:rsid w:val="00C57AD5"/>
    <w:rsid w:val="00C60469"/>
    <w:rsid w:val="00C64593"/>
    <w:rsid w:val="00C70D17"/>
    <w:rsid w:val="00C81770"/>
    <w:rsid w:val="00C867AF"/>
    <w:rsid w:val="00C90410"/>
    <w:rsid w:val="00C95600"/>
    <w:rsid w:val="00C9761E"/>
    <w:rsid w:val="00CA24F2"/>
    <w:rsid w:val="00CB229D"/>
    <w:rsid w:val="00CB67D6"/>
    <w:rsid w:val="00CB6EF6"/>
    <w:rsid w:val="00CC564A"/>
    <w:rsid w:val="00CC7FDD"/>
    <w:rsid w:val="00CD15CF"/>
    <w:rsid w:val="00CD34A0"/>
    <w:rsid w:val="00CD57B0"/>
    <w:rsid w:val="00CD714B"/>
    <w:rsid w:val="00CD76F1"/>
    <w:rsid w:val="00CD7887"/>
    <w:rsid w:val="00CE2B53"/>
    <w:rsid w:val="00CE360E"/>
    <w:rsid w:val="00CE3EBC"/>
    <w:rsid w:val="00CF7D9C"/>
    <w:rsid w:val="00D039A5"/>
    <w:rsid w:val="00D068C5"/>
    <w:rsid w:val="00D077E0"/>
    <w:rsid w:val="00D11F25"/>
    <w:rsid w:val="00D24BB2"/>
    <w:rsid w:val="00D261CA"/>
    <w:rsid w:val="00D266E7"/>
    <w:rsid w:val="00D272F3"/>
    <w:rsid w:val="00D34EA0"/>
    <w:rsid w:val="00D46B47"/>
    <w:rsid w:val="00D54920"/>
    <w:rsid w:val="00D5589E"/>
    <w:rsid w:val="00D576AC"/>
    <w:rsid w:val="00D576F4"/>
    <w:rsid w:val="00D62669"/>
    <w:rsid w:val="00D641D7"/>
    <w:rsid w:val="00D71029"/>
    <w:rsid w:val="00D84193"/>
    <w:rsid w:val="00D84D64"/>
    <w:rsid w:val="00D866B1"/>
    <w:rsid w:val="00D871F6"/>
    <w:rsid w:val="00D93AE5"/>
    <w:rsid w:val="00D96661"/>
    <w:rsid w:val="00DA2D78"/>
    <w:rsid w:val="00DA3ED1"/>
    <w:rsid w:val="00DA60C1"/>
    <w:rsid w:val="00DB53D5"/>
    <w:rsid w:val="00DC6E7B"/>
    <w:rsid w:val="00DD059F"/>
    <w:rsid w:val="00DD07EB"/>
    <w:rsid w:val="00DD6195"/>
    <w:rsid w:val="00DD678F"/>
    <w:rsid w:val="00DD709C"/>
    <w:rsid w:val="00DE26EC"/>
    <w:rsid w:val="00DE5DC0"/>
    <w:rsid w:val="00DE665D"/>
    <w:rsid w:val="00DE66A0"/>
    <w:rsid w:val="00DF095A"/>
    <w:rsid w:val="00E0472B"/>
    <w:rsid w:val="00E17814"/>
    <w:rsid w:val="00E22B1E"/>
    <w:rsid w:val="00E32901"/>
    <w:rsid w:val="00E42F85"/>
    <w:rsid w:val="00E43E8E"/>
    <w:rsid w:val="00E45923"/>
    <w:rsid w:val="00E50A5F"/>
    <w:rsid w:val="00E549D5"/>
    <w:rsid w:val="00E55ADF"/>
    <w:rsid w:val="00E576EC"/>
    <w:rsid w:val="00E60BBE"/>
    <w:rsid w:val="00E81EF2"/>
    <w:rsid w:val="00E85588"/>
    <w:rsid w:val="00E9599B"/>
    <w:rsid w:val="00EA4942"/>
    <w:rsid w:val="00EA4D5D"/>
    <w:rsid w:val="00EB069E"/>
    <w:rsid w:val="00EB212B"/>
    <w:rsid w:val="00EB6195"/>
    <w:rsid w:val="00EC1A3E"/>
    <w:rsid w:val="00ED65AE"/>
    <w:rsid w:val="00EE0831"/>
    <w:rsid w:val="00EE3D5B"/>
    <w:rsid w:val="00EE5F98"/>
    <w:rsid w:val="00EE6C6E"/>
    <w:rsid w:val="00EF0FFB"/>
    <w:rsid w:val="00F01D4C"/>
    <w:rsid w:val="00F029BF"/>
    <w:rsid w:val="00F05771"/>
    <w:rsid w:val="00F10CDD"/>
    <w:rsid w:val="00F10DE8"/>
    <w:rsid w:val="00F10DEF"/>
    <w:rsid w:val="00F16678"/>
    <w:rsid w:val="00F20FA1"/>
    <w:rsid w:val="00F3022D"/>
    <w:rsid w:val="00F31A66"/>
    <w:rsid w:val="00F3265D"/>
    <w:rsid w:val="00F32FF8"/>
    <w:rsid w:val="00F35558"/>
    <w:rsid w:val="00F46040"/>
    <w:rsid w:val="00F504D7"/>
    <w:rsid w:val="00F5407A"/>
    <w:rsid w:val="00F55CE5"/>
    <w:rsid w:val="00F614FC"/>
    <w:rsid w:val="00F63F14"/>
    <w:rsid w:val="00F70FC6"/>
    <w:rsid w:val="00F7535A"/>
    <w:rsid w:val="00F81501"/>
    <w:rsid w:val="00F845BA"/>
    <w:rsid w:val="00F973AA"/>
    <w:rsid w:val="00FA719C"/>
    <w:rsid w:val="00FB0174"/>
    <w:rsid w:val="00FB159D"/>
    <w:rsid w:val="00FB220A"/>
    <w:rsid w:val="00FC30D3"/>
    <w:rsid w:val="00FC5A63"/>
    <w:rsid w:val="00FD5617"/>
    <w:rsid w:val="00FF1E5F"/>
    <w:rsid w:val="00FF3256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4135F"/>
  <w15:chartTrackingRefBased/>
  <w15:docId w15:val="{932BFEEE-B003-4A33-ACBA-5FBB26E2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rsid w:val="003A45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1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71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F029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EFC"/>
  </w:style>
  <w:style w:type="paragraph" w:styleId="Footer">
    <w:name w:val="footer"/>
    <w:basedOn w:val="Normal"/>
    <w:link w:val="FooterChar"/>
    <w:uiPriority w:val="99"/>
    <w:unhideWhenUsed/>
    <w:rsid w:val="008E3E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EFC"/>
  </w:style>
  <w:style w:type="character" w:styleId="PageNumber">
    <w:name w:val="page number"/>
    <w:basedOn w:val="DefaultParagraphFont"/>
    <w:semiHidden/>
    <w:unhideWhenUsed/>
    <w:rsid w:val="002707A0"/>
  </w:style>
  <w:style w:type="character" w:customStyle="1" w:styleId="Heading1Char">
    <w:name w:val="Heading 1 Char"/>
    <w:basedOn w:val="DefaultParagraphFont"/>
    <w:link w:val="Heading1"/>
    <w:uiPriority w:val="9"/>
    <w:rsid w:val="003A4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MPHeading1">
    <w:name w:val="M&amp;P Heading 1"/>
    <w:basedOn w:val="Heading1"/>
    <w:link w:val="MPHeading1Char"/>
    <w:qFormat/>
    <w:rsid w:val="003A4537"/>
    <w:rPr>
      <w:rFonts w:asciiTheme="minorHAnsi" w:hAnsiTheme="minorHAnsi"/>
      <w:b/>
      <w:color w:val="00645B"/>
      <w:sz w:val="28"/>
      <w:lang w:val="en-US"/>
    </w:rPr>
  </w:style>
  <w:style w:type="paragraph" w:customStyle="1" w:styleId="MP-Author">
    <w:name w:val="M&amp;P-Author"/>
    <w:basedOn w:val="Normal"/>
    <w:link w:val="MP-AuthorChar"/>
    <w:qFormat/>
    <w:rsid w:val="003A4537"/>
    <w:pPr>
      <w:spacing w:after="0" w:line="240" w:lineRule="auto"/>
    </w:pPr>
    <w:rPr>
      <w:rFonts w:cs="Poppins"/>
      <w:color w:val="AEAAAA" w:themeColor="background2" w:themeShade="BF"/>
      <w:sz w:val="20"/>
      <w:szCs w:val="18"/>
      <w:lang w:val="en-US"/>
    </w:rPr>
  </w:style>
  <w:style w:type="character" w:customStyle="1" w:styleId="MPHeading1Char">
    <w:name w:val="M&amp;P Heading 1 Char"/>
    <w:basedOn w:val="Heading1Char"/>
    <w:link w:val="MPHeading1"/>
    <w:rsid w:val="003A4537"/>
    <w:rPr>
      <w:rFonts w:asciiTheme="majorHAnsi" w:eastAsiaTheme="majorEastAsia" w:hAnsiTheme="majorHAnsi" w:cstheme="majorBidi"/>
      <w:b/>
      <w:color w:val="00645B"/>
      <w:sz w:val="28"/>
      <w:szCs w:val="32"/>
      <w:lang w:val="en-US"/>
    </w:rPr>
  </w:style>
  <w:style w:type="paragraph" w:customStyle="1" w:styleId="MP-Para">
    <w:name w:val="M&amp;P-Para"/>
    <w:basedOn w:val="Normal"/>
    <w:link w:val="MP-ParaChar"/>
    <w:qFormat/>
    <w:rsid w:val="003A4537"/>
    <w:pPr>
      <w:spacing w:after="0" w:line="240" w:lineRule="auto"/>
    </w:pPr>
    <w:rPr>
      <w:rFonts w:cs="Poppins"/>
      <w:color w:val="000000" w:themeColor="text1"/>
      <w:sz w:val="24"/>
      <w:szCs w:val="24"/>
      <w:lang w:val="en-US"/>
    </w:rPr>
  </w:style>
  <w:style w:type="character" w:customStyle="1" w:styleId="MP-AuthorChar">
    <w:name w:val="M&amp;P-Author Char"/>
    <w:basedOn w:val="DefaultParagraphFont"/>
    <w:link w:val="MP-Author"/>
    <w:rsid w:val="003A4537"/>
    <w:rPr>
      <w:rFonts w:cs="Poppins"/>
      <w:color w:val="AEAAAA" w:themeColor="background2" w:themeShade="BF"/>
      <w:sz w:val="20"/>
      <w:szCs w:val="18"/>
      <w:lang w:val="en-US"/>
    </w:rPr>
  </w:style>
  <w:style w:type="paragraph" w:customStyle="1" w:styleId="MP-Subheading">
    <w:name w:val="M&amp;P-Subheading"/>
    <w:basedOn w:val="Normal"/>
    <w:link w:val="MP-SubheadingChar"/>
    <w:qFormat/>
    <w:rsid w:val="003A4537"/>
    <w:pPr>
      <w:spacing w:after="0" w:line="240" w:lineRule="auto"/>
    </w:pPr>
    <w:rPr>
      <w:rFonts w:cs="Poppins"/>
      <w:b/>
      <w:bCs/>
      <w:color w:val="000000" w:themeColor="text1"/>
      <w:sz w:val="24"/>
      <w:szCs w:val="24"/>
    </w:rPr>
  </w:style>
  <w:style w:type="character" w:customStyle="1" w:styleId="MP-ParaChar">
    <w:name w:val="M&amp;P-Para Char"/>
    <w:basedOn w:val="DefaultParagraphFont"/>
    <w:link w:val="MP-Para"/>
    <w:rsid w:val="003A4537"/>
    <w:rPr>
      <w:rFonts w:cs="Poppins"/>
      <w:color w:val="000000" w:themeColor="text1"/>
      <w:sz w:val="24"/>
      <w:szCs w:val="24"/>
      <w:lang w:val="en-US"/>
    </w:rPr>
  </w:style>
  <w:style w:type="character" w:customStyle="1" w:styleId="MP-SubheadingChar">
    <w:name w:val="M&amp;P-Subheading Char"/>
    <w:basedOn w:val="DefaultParagraphFont"/>
    <w:link w:val="MP-Subheading"/>
    <w:rsid w:val="003A4537"/>
    <w:rPr>
      <w:rFonts w:cs="Poppins"/>
      <w:b/>
      <w:bCs/>
      <w:color w:val="000000" w:themeColor="text1"/>
      <w:sz w:val="24"/>
      <w:szCs w:val="24"/>
    </w:rPr>
  </w:style>
  <w:style w:type="paragraph" w:styleId="Revision">
    <w:name w:val="Revision"/>
    <w:hidden/>
    <w:uiPriority w:val="99"/>
    <w:semiHidden/>
    <w:rsid w:val="008C0DE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6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6B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6B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6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6B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77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62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4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6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174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jmudarindi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M&amp;P</dc:creator>
  <cp:keywords/>
  <dc:description/>
  <cp:lastModifiedBy>M&amp;P</cp:lastModifiedBy>
  <cp:revision>3</cp:revision>
  <dcterms:created xsi:type="dcterms:W3CDTF">2023-05-11T04:57:00Z</dcterms:created>
  <dcterms:modified xsi:type="dcterms:W3CDTF">2023-05-11T04:59:00Z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5a9c33545106a8f8cde2ad8ed0948f3a605c1c1a43b7abb37a708207a29223d3</vt:lpwstr>
  </property>
</Properties>
</file>